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F61F17">
        <w:rPr>
          <w:rFonts w:eastAsia="MS PGothic"/>
          <w:b/>
          <w:color w:val="000000"/>
          <w:sz w:val="22"/>
          <w:szCs w:val="22"/>
        </w:rPr>
        <w:t>Telomeres and Aging: Resetting Gene Expression</w:t>
      </w:r>
    </w:p>
    <w:p w:rsidR="0005164C" w:rsidRPr="009D49B8" w:rsidRDefault="0005164C" w:rsidP="003C0794">
      <w:pPr>
        <w:jc w:val="both"/>
        <w:rPr>
          <w:rFonts w:eastAsia="MS PGothic"/>
          <w:color w:val="000000"/>
          <w:sz w:val="22"/>
          <w:szCs w:val="22"/>
        </w:rPr>
      </w:pPr>
    </w:p>
    <w:p w:rsidR="003C0794" w:rsidRPr="00351E9B" w:rsidRDefault="00F61F17" w:rsidP="00F61F17">
      <w:pPr>
        <w:shd w:val="clear" w:color="auto" w:fill="FFFFFF"/>
        <w:spacing w:after="150"/>
        <w:jc w:val="both"/>
        <w:rPr>
          <w:sz w:val="19"/>
          <w:szCs w:val="19"/>
          <w:lang w:val="en-IN" w:eastAsia="en-IN"/>
        </w:rPr>
      </w:pPr>
      <w:r>
        <w:rPr>
          <w:b/>
          <w:bCs/>
          <w:sz w:val="19"/>
          <w:szCs w:val="19"/>
          <w:lang w:val="en-IN" w:eastAsia="en-IN"/>
        </w:rPr>
        <w:t xml:space="preserve">Michael </w:t>
      </w:r>
      <w:proofErr w:type="spellStart"/>
      <w:r>
        <w:rPr>
          <w:b/>
          <w:bCs/>
          <w:sz w:val="19"/>
          <w:szCs w:val="19"/>
          <w:lang w:val="en-IN" w:eastAsia="en-IN"/>
        </w:rPr>
        <w:t>Fossel</w:t>
      </w:r>
      <w:proofErr w:type="spellEnd"/>
      <w:r>
        <w:rPr>
          <w:b/>
          <w:bCs/>
          <w:sz w:val="19"/>
          <w:szCs w:val="19"/>
          <w:lang w:val="en-IN" w:eastAsia="en-IN"/>
        </w:rPr>
        <w:t>, MD, PhD</w:t>
      </w:r>
      <w:r w:rsidR="003C0794" w:rsidRPr="0005164C">
        <w:rPr>
          <w:b/>
          <w:bCs/>
          <w:sz w:val="19"/>
          <w:szCs w:val="19"/>
          <w:lang w:val="en-IN" w:eastAsia="en-IN"/>
        </w:rPr>
        <w:t xml:space="preserve"> </w:t>
      </w:r>
      <w:bookmarkStart w:id="0" w:name="a1"/>
      <w:bookmarkEnd w:id="0"/>
    </w:p>
    <w:p w:rsidR="003C0794" w:rsidRPr="00351E9B" w:rsidRDefault="00F61F17" w:rsidP="003C0794">
      <w:pPr>
        <w:shd w:val="clear" w:color="auto" w:fill="FFFFFF"/>
        <w:jc w:val="both"/>
        <w:rPr>
          <w:sz w:val="19"/>
          <w:szCs w:val="19"/>
          <w:lang w:val="en-IN" w:eastAsia="en-IN"/>
        </w:rPr>
      </w:pPr>
      <w:r>
        <w:rPr>
          <w:sz w:val="19"/>
          <w:szCs w:val="19"/>
          <w:lang w:val="en-IN" w:eastAsia="en-IN"/>
        </w:rPr>
        <w:t xml:space="preserve">President, </w:t>
      </w:r>
      <w:proofErr w:type="spellStart"/>
      <w:r>
        <w:rPr>
          <w:sz w:val="19"/>
          <w:szCs w:val="19"/>
          <w:lang w:val="en-IN" w:eastAsia="en-IN"/>
        </w:rPr>
        <w:t>Telocyte</w:t>
      </w:r>
      <w:proofErr w:type="spellEnd"/>
      <w:r>
        <w:rPr>
          <w:sz w:val="19"/>
          <w:szCs w:val="19"/>
          <w:lang w:val="en-IN" w:eastAsia="en-IN"/>
        </w:rPr>
        <w:t xml:space="preserve"> LLC, United States</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6B3D19" w:rsidRDefault="009D49B8" w:rsidP="003C0794">
      <w:pPr>
        <w:pStyle w:val="keywords"/>
        <w:ind w:firstLine="0"/>
        <w:rPr>
          <w:b w:val="0"/>
          <w:bCs w:val="0"/>
          <w:i w:val="0"/>
          <w:iCs w:val="0"/>
          <w:noProof w:val="0"/>
          <w:sz w:val="19"/>
          <w:szCs w:val="19"/>
          <w:lang w:val="en-IN" w:eastAsia="en-IN"/>
        </w:rPr>
      </w:pPr>
      <w:r w:rsidRPr="006B3D19">
        <w:rPr>
          <w:bCs w:val="0"/>
          <w:i w:val="0"/>
          <w:iCs w:val="0"/>
          <w:noProof w:val="0"/>
          <w:sz w:val="19"/>
          <w:szCs w:val="19"/>
          <w:lang w:val="en-IN" w:eastAsia="en-IN"/>
        </w:rPr>
        <w:t xml:space="preserve">Keywords: </w:t>
      </w:r>
      <w:r w:rsidR="00F61F17" w:rsidRPr="006B3D19">
        <w:rPr>
          <w:bCs w:val="0"/>
          <w:i w:val="0"/>
          <w:iCs w:val="0"/>
          <w:noProof w:val="0"/>
          <w:sz w:val="19"/>
          <w:szCs w:val="19"/>
          <w:lang w:val="en-IN" w:eastAsia="en-IN"/>
        </w:rPr>
        <w:t xml:space="preserve">Telomeres, Aging, Epigenetics, Age-related disease, </w:t>
      </w:r>
      <w:r w:rsidRPr="006B3D19">
        <w:rPr>
          <w:bCs w:val="0"/>
          <w:i w:val="0"/>
          <w:iCs w:val="0"/>
          <w:noProof w:val="0"/>
          <w:sz w:val="19"/>
          <w:szCs w:val="19"/>
          <w:lang w:val="en-IN" w:eastAsia="en-IN"/>
        </w:rPr>
        <w:t>Gene expression</w:t>
      </w:r>
      <w:r w:rsidR="00F61F17" w:rsidRPr="006B3D19">
        <w:rPr>
          <w:bCs w:val="0"/>
          <w:i w:val="0"/>
          <w:iCs w:val="0"/>
          <w:noProof w:val="0"/>
          <w:sz w:val="19"/>
          <w:szCs w:val="19"/>
          <w:lang w:val="en-IN" w:eastAsia="en-IN"/>
        </w:rPr>
        <w:t>, Cell senescence, Alzheimer’s disease, Dementia</w:t>
      </w:r>
    </w:p>
    <w:p w:rsidR="008A55B5" w:rsidRPr="006B3D19" w:rsidRDefault="003C0794" w:rsidP="00861508">
      <w:pPr>
        <w:pStyle w:val="keywords"/>
        <w:numPr>
          <w:ilvl w:val="0"/>
          <w:numId w:val="22"/>
        </w:numPr>
        <w:rPr>
          <w:bCs w:val="0"/>
          <w:i w:val="0"/>
          <w:iCs w:val="0"/>
          <w:noProof w:val="0"/>
          <w:sz w:val="19"/>
          <w:szCs w:val="19"/>
          <w:lang w:val="en-IN" w:eastAsia="en-IN"/>
        </w:rPr>
      </w:pPr>
      <w:r w:rsidRPr="006B3D19">
        <w:rPr>
          <w:bCs w:val="0"/>
          <w:i w:val="0"/>
          <w:iCs w:val="0"/>
          <w:noProof w:val="0"/>
          <w:sz w:val="19"/>
          <w:szCs w:val="19"/>
          <w:lang w:val="en-IN" w:eastAsia="en-IN"/>
        </w:rPr>
        <w:t>Abstract</w:t>
      </w:r>
      <w:r w:rsidR="006B3D19">
        <w:rPr>
          <w:bCs w:val="0"/>
          <w:i w:val="0"/>
          <w:iCs w:val="0"/>
          <w:noProof w:val="0"/>
          <w:sz w:val="19"/>
          <w:szCs w:val="19"/>
          <w:lang w:val="en-IN" w:eastAsia="en-IN"/>
        </w:rPr>
        <w:t>:</w:t>
      </w:r>
      <w:r w:rsidR="00861508" w:rsidRPr="006B3D19">
        <w:rPr>
          <w:bCs w:val="0"/>
          <w:i w:val="0"/>
          <w:iCs w:val="0"/>
          <w:noProof w:val="0"/>
          <w:sz w:val="19"/>
          <w:szCs w:val="19"/>
          <w:lang w:val="en-IN" w:eastAsia="en-IN"/>
        </w:rPr>
        <w:t xml:space="preserve"> </w:t>
      </w:r>
    </w:p>
    <w:p w:rsidR="00883A50" w:rsidRPr="006B3D19" w:rsidRDefault="00F61F17" w:rsidP="00F61F17">
      <w:pPr>
        <w:jc w:val="both"/>
        <w:rPr>
          <w:sz w:val="19"/>
          <w:szCs w:val="19"/>
          <w:lang w:val="en-IN" w:eastAsia="en-IN"/>
        </w:rPr>
      </w:pPr>
      <w:r w:rsidRPr="006B3D19">
        <w:rPr>
          <w:sz w:val="19"/>
          <w:szCs w:val="19"/>
          <w:lang w:val="en-IN" w:eastAsia="en-IN"/>
        </w:rPr>
        <w:t>All aging is cell aging</w:t>
      </w:r>
      <w:r w:rsidR="00E75979" w:rsidRPr="006B3D19">
        <w:rPr>
          <w:sz w:val="19"/>
          <w:szCs w:val="19"/>
          <w:vertAlign w:val="superscript"/>
          <w:lang w:val="en-IN" w:eastAsia="en-IN"/>
        </w:rPr>
        <w:t>1</w:t>
      </w:r>
      <w:r w:rsidRPr="006B3D19">
        <w:rPr>
          <w:sz w:val="19"/>
          <w:szCs w:val="19"/>
          <w:lang w:val="en-IN" w:eastAsia="en-IN"/>
        </w:rPr>
        <w:t>, which is characterized by subtle and pervasive changes in gene expression (epigenetic pattern) driven by relative telomere loss</w:t>
      </w:r>
      <w:r w:rsidR="006B3D19" w:rsidRPr="006B3D19">
        <w:rPr>
          <w:sz w:val="19"/>
          <w:szCs w:val="19"/>
          <w:lang w:val="en-IN" w:eastAsia="en-IN"/>
        </w:rPr>
        <w:t>, and this results in age-related human clinical disease</w:t>
      </w:r>
      <w:r w:rsidR="006B3D19" w:rsidRPr="006B3D19">
        <w:rPr>
          <w:sz w:val="19"/>
          <w:szCs w:val="19"/>
          <w:vertAlign w:val="superscript"/>
          <w:lang w:val="en-IN" w:eastAsia="en-IN"/>
        </w:rPr>
        <w:t>2</w:t>
      </w:r>
      <w:r w:rsidRPr="006B3D19">
        <w:rPr>
          <w:sz w:val="19"/>
          <w:szCs w:val="19"/>
          <w:lang w:val="en-IN" w:eastAsia="en-IN"/>
        </w:rPr>
        <w:t>.</w:t>
      </w:r>
      <w:r w:rsidR="00E75979" w:rsidRPr="006B3D19">
        <w:rPr>
          <w:sz w:val="19"/>
          <w:szCs w:val="19"/>
          <w:lang w:val="en-IN" w:eastAsia="en-IN"/>
        </w:rPr>
        <w:t xml:space="preserve"> </w:t>
      </w:r>
      <w:r w:rsidR="006B3D19" w:rsidRPr="006B3D19">
        <w:rPr>
          <w:sz w:val="19"/>
          <w:szCs w:val="19"/>
          <w:lang w:val="en-IN" w:eastAsia="en-IN"/>
        </w:rPr>
        <w:t>The observation that a</w:t>
      </w:r>
      <w:r w:rsidRPr="006B3D19">
        <w:rPr>
          <w:sz w:val="19"/>
          <w:szCs w:val="19"/>
          <w:lang w:val="en-IN" w:eastAsia="en-IN"/>
        </w:rPr>
        <w:t>ge</w:t>
      </w:r>
      <w:r w:rsidR="006B3D19" w:rsidRPr="006B3D19">
        <w:rPr>
          <w:sz w:val="19"/>
          <w:szCs w:val="19"/>
          <w:lang w:val="en-IN" w:eastAsia="en-IN"/>
        </w:rPr>
        <w:t>-</w:t>
      </w:r>
      <w:r w:rsidRPr="006B3D19">
        <w:rPr>
          <w:sz w:val="19"/>
          <w:szCs w:val="19"/>
          <w:lang w:val="en-IN" w:eastAsia="en-IN"/>
        </w:rPr>
        <w:t>related disease results from cell and tissue changes due to cell senescence</w:t>
      </w:r>
      <w:r w:rsidR="006B3D19" w:rsidRPr="006B3D19">
        <w:rPr>
          <w:sz w:val="19"/>
          <w:szCs w:val="19"/>
          <w:lang w:val="en-IN" w:eastAsia="en-IN"/>
        </w:rPr>
        <w:t xml:space="preserve">  </w:t>
      </w:r>
      <w:r w:rsidR="00E75979" w:rsidRPr="006B3D19">
        <w:rPr>
          <w:sz w:val="19"/>
          <w:szCs w:val="19"/>
          <w:lang w:val="en-IN" w:eastAsia="en-IN"/>
        </w:rPr>
        <w:t xml:space="preserve"> has profound implications for </w:t>
      </w:r>
      <w:r w:rsidR="006B3D19" w:rsidRPr="006B3D19">
        <w:rPr>
          <w:sz w:val="19"/>
          <w:szCs w:val="19"/>
          <w:lang w:val="en-IN" w:eastAsia="en-IN"/>
        </w:rPr>
        <w:t xml:space="preserve">an </w:t>
      </w:r>
      <w:r w:rsidR="00E75979" w:rsidRPr="006B3D19">
        <w:rPr>
          <w:sz w:val="19"/>
          <w:szCs w:val="19"/>
          <w:lang w:val="en-IN" w:eastAsia="en-IN"/>
        </w:rPr>
        <w:t xml:space="preserve">effective clinical intervention in both </w:t>
      </w:r>
      <w:r w:rsidR="006B3D19" w:rsidRPr="006B3D19">
        <w:rPr>
          <w:sz w:val="19"/>
          <w:szCs w:val="19"/>
          <w:lang w:val="en-IN" w:eastAsia="en-IN"/>
        </w:rPr>
        <w:t xml:space="preserve">the human </w:t>
      </w:r>
      <w:r w:rsidR="00E75979" w:rsidRPr="006B3D19">
        <w:rPr>
          <w:sz w:val="19"/>
          <w:szCs w:val="19"/>
          <w:lang w:val="en-IN" w:eastAsia="en-IN"/>
        </w:rPr>
        <w:t>lifespan</w:t>
      </w:r>
      <w:r w:rsidR="00E75979" w:rsidRPr="006B3D19">
        <w:rPr>
          <w:sz w:val="19"/>
          <w:szCs w:val="19"/>
          <w:vertAlign w:val="superscript"/>
          <w:lang w:val="en-IN" w:eastAsia="en-IN"/>
        </w:rPr>
        <w:t>3</w:t>
      </w:r>
      <w:r w:rsidR="00E75979" w:rsidRPr="006B3D19">
        <w:rPr>
          <w:sz w:val="19"/>
          <w:szCs w:val="19"/>
          <w:lang w:val="en-IN" w:eastAsia="en-IN"/>
        </w:rPr>
        <w:t xml:space="preserve"> and human health</w:t>
      </w:r>
      <w:r w:rsidR="00E75979" w:rsidRPr="006B3D19">
        <w:rPr>
          <w:sz w:val="19"/>
          <w:szCs w:val="19"/>
          <w:vertAlign w:val="superscript"/>
          <w:lang w:val="en-IN" w:eastAsia="en-IN"/>
        </w:rPr>
        <w:t>4</w:t>
      </w:r>
      <w:r w:rsidR="00E75979" w:rsidRPr="006B3D19">
        <w:rPr>
          <w:sz w:val="19"/>
          <w:szCs w:val="19"/>
          <w:lang w:val="en-IN" w:eastAsia="en-IN"/>
        </w:rPr>
        <w:t xml:space="preserve">. </w:t>
      </w:r>
      <w:r w:rsidR="006B3D19" w:rsidRPr="006B3D19">
        <w:rPr>
          <w:sz w:val="19"/>
          <w:szCs w:val="19"/>
          <w:lang w:val="en-IN" w:eastAsia="en-IN"/>
        </w:rPr>
        <w:t>Telomerase intervention has proven effective in reversing cell aging in both human cells</w:t>
      </w:r>
      <w:r w:rsidR="006B3D19" w:rsidRPr="006B3D19">
        <w:rPr>
          <w:sz w:val="19"/>
          <w:szCs w:val="19"/>
          <w:vertAlign w:val="superscript"/>
          <w:lang w:val="en-IN" w:eastAsia="en-IN"/>
        </w:rPr>
        <w:t>5</w:t>
      </w:r>
      <w:r w:rsidR="006B3D19" w:rsidRPr="006B3D19">
        <w:rPr>
          <w:sz w:val="19"/>
          <w:szCs w:val="19"/>
          <w:lang w:val="en-IN" w:eastAsia="en-IN"/>
        </w:rPr>
        <w:t xml:space="preserve"> and human tissues</w:t>
      </w:r>
      <w:r w:rsidR="006B3D19" w:rsidRPr="006B3D19">
        <w:rPr>
          <w:sz w:val="19"/>
          <w:szCs w:val="19"/>
          <w:vertAlign w:val="superscript"/>
          <w:lang w:val="en-IN" w:eastAsia="en-IN"/>
        </w:rPr>
        <w:t>6</w:t>
      </w:r>
      <w:r w:rsidR="006B3D19" w:rsidRPr="006B3D19">
        <w:rPr>
          <w:sz w:val="19"/>
          <w:szCs w:val="19"/>
          <w:lang w:val="en-IN" w:eastAsia="en-IN"/>
        </w:rPr>
        <w:t>. Recent work has proven effective in reversing aging in animals, using both germ cell line interventions</w:t>
      </w:r>
      <w:r w:rsidR="006B3D19" w:rsidRPr="006B3D19">
        <w:rPr>
          <w:sz w:val="19"/>
          <w:szCs w:val="19"/>
          <w:vertAlign w:val="superscript"/>
          <w:lang w:val="en-IN" w:eastAsia="en-IN"/>
        </w:rPr>
        <w:t>7</w:t>
      </w:r>
      <w:r w:rsidR="006B3D19" w:rsidRPr="006B3D19">
        <w:rPr>
          <w:sz w:val="19"/>
          <w:szCs w:val="19"/>
          <w:lang w:val="en-IN" w:eastAsia="en-IN"/>
        </w:rPr>
        <w:t xml:space="preserve"> and standard gene therapy vectors using the normal human telomerase gene, hTERT</w:t>
      </w:r>
      <w:r w:rsidR="006B3D19" w:rsidRPr="006B3D19">
        <w:rPr>
          <w:sz w:val="19"/>
          <w:szCs w:val="19"/>
          <w:vertAlign w:val="superscript"/>
          <w:lang w:val="en-IN" w:eastAsia="en-IN"/>
        </w:rPr>
        <w:t>8</w:t>
      </w:r>
      <w:r w:rsidR="006B3D19" w:rsidRPr="006B3D19">
        <w:rPr>
          <w:sz w:val="19"/>
          <w:szCs w:val="19"/>
          <w:lang w:val="en-IN" w:eastAsia="en-IN"/>
        </w:rPr>
        <w:t xml:space="preserve">. </w:t>
      </w:r>
      <w:r w:rsidRPr="006B3D19">
        <w:rPr>
          <w:sz w:val="19"/>
          <w:szCs w:val="19"/>
          <w:lang w:val="en-IN" w:eastAsia="en-IN"/>
        </w:rPr>
        <w:t>Telomerase therapy is the optimal point of clinical intervention in aging and age-related disease</w:t>
      </w:r>
      <w:r w:rsidR="006B3D19" w:rsidRPr="006B3D19">
        <w:rPr>
          <w:sz w:val="19"/>
          <w:szCs w:val="19"/>
          <w:lang w:val="en-IN" w:eastAsia="en-IN"/>
        </w:rPr>
        <w:t xml:space="preserve"> and is expected to be effective in curing Alzheimer’s disease</w:t>
      </w:r>
      <w:r w:rsidR="00A40B80" w:rsidRPr="00A40B80">
        <w:rPr>
          <w:i/>
          <w:sz w:val="19"/>
          <w:szCs w:val="19"/>
          <w:vertAlign w:val="superscript"/>
          <w:lang w:val="en-IN" w:eastAsia="en-IN"/>
        </w:rPr>
        <w:t>9</w:t>
      </w:r>
      <w:r w:rsidR="006B3D19" w:rsidRPr="006B3D19">
        <w:rPr>
          <w:sz w:val="19"/>
          <w:szCs w:val="19"/>
          <w:lang w:val="en-IN" w:eastAsia="en-IN"/>
        </w:rPr>
        <w:t xml:space="preserve"> and most other age-related human diseases.</w:t>
      </w:r>
    </w:p>
    <w:p w:rsidR="006B3D19" w:rsidRPr="006B3D19" w:rsidRDefault="006B3D19" w:rsidP="00F61F17">
      <w:pPr>
        <w:jc w:val="both"/>
        <w:rPr>
          <w:sz w:val="19"/>
          <w:szCs w:val="19"/>
          <w:lang w:val="en-IN" w:eastAsia="en-IN"/>
        </w:rPr>
      </w:pPr>
    </w:p>
    <w:p w:rsidR="003C0794" w:rsidRPr="006B3D19" w:rsidRDefault="00883A50" w:rsidP="00F61F17">
      <w:pPr>
        <w:numPr>
          <w:ilvl w:val="0"/>
          <w:numId w:val="22"/>
        </w:numPr>
        <w:jc w:val="both"/>
        <w:rPr>
          <w:b/>
          <w:sz w:val="19"/>
          <w:szCs w:val="19"/>
        </w:rPr>
      </w:pPr>
      <w:r w:rsidRPr="006B3D19">
        <w:rPr>
          <w:sz w:val="19"/>
          <w:szCs w:val="19"/>
          <w:lang w:val="en-IN" w:eastAsia="en-IN"/>
        </w:rPr>
        <w:t xml:space="preserve"> </w:t>
      </w:r>
      <w:r w:rsidR="00F61F17" w:rsidRPr="006B3D19">
        <w:rPr>
          <w:b/>
          <w:sz w:val="19"/>
          <w:szCs w:val="19"/>
        </w:rPr>
        <w:t>R</w:t>
      </w:r>
      <w:r w:rsidR="003C0794" w:rsidRPr="006B3D19">
        <w:rPr>
          <w:b/>
          <w:sz w:val="19"/>
          <w:szCs w:val="19"/>
        </w:rPr>
        <w:t>eference</w:t>
      </w:r>
      <w:r w:rsidR="00F61F17" w:rsidRPr="006B3D19">
        <w:rPr>
          <w:b/>
          <w:sz w:val="19"/>
          <w:szCs w:val="19"/>
        </w:rPr>
        <w:t>s</w:t>
      </w:r>
      <w:r w:rsidR="003C0794" w:rsidRPr="006B3D19">
        <w:rPr>
          <w:b/>
          <w:sz w:val="19"/>
          <w:szCs w:val="19"/>
        </w:rPr>
        <w:t>:</w:t>
      </w:r>
    </w:p>
    <w:p w:rsidR="009D49B8" w:rsidRPr="006B3D19" w:rsidRDefault="00E75979" w:rsidP="006B3D19">
      <w:pPr>
        <w:numPr>
          <w:ilvl w:val="0"/>
          <w:numId w:val="24"/>
        </w:numPr>
        <w:shd w:val="clear" w:color="auto" w:fill="FFFFFF"/>
        <w:spacing w:before="100" w:beforeAutospacing="1" w:after="120"/>
        <w:ind w:left="360"/>
        <w:contextualSpacing/>
        <w:jc w:val="left"/>
        <w:rPr>
          <w:sz w:val="19"/>
          <w:szCs w:val="19"/>
          <w:lang w:val="en-IN" w:eastAsia="en-IN"/>
        </w:rPr>
      </w:pPr>
      <w:bookmarkStart w:id="1" w:name="2"/>
      <w:bookmarkEnd w:id="1"/>
      <w:proofErr w:type="spellStart"/>
      <w:r w:rsidRPr="006B3D19">
        <w:rPr>
          <w:sz w:val="19"/>
          <w:szCs w:val="19"/>
          <w:lang w:val="en-IN" w:eastAsia="en-IN"/>
        </w:rPr>
        <w:t>Fossel</w:t>
      </w:r>
      <w:proofErr w:type="spellEnd"/>
      <w:r w:rsidRPr="006B3D19">
        <w:rPr>
          <w:sz w:val="19"/>
          <w:szCs w:val="19"/>
          <w:lang w:val="en-IN" w:eastAsia="en-IN"/>
        </w:rPr>
        <w:t xml:space="preserve"> M. </w:t>
      </w:r>
      <w:r w:rsidRPr="00B543D8">
        <w:rPr>
          <w:i/>
          <w:sz w:val="19"/>
          <w:szCs w:val="19"/>
          <w:lang w:val="en-IN" w:eastAsia="en-IN"/>
        </w:rPr>
        <w:t>Reversing Human Aging</w:t>
      </w:r>
      <w:r w:rsidRPr="006B3D19">
        <w:rPr>
          <w:sz w:val="19"/>
          <w:szCs w:val="19"/>
          <w:lang w:val="en-IN" w:eastAsia="en-IN"/>
        </w:rPr>
        <w:t>. New York, William Morrow &amp; Co. 1996.</w:t>
      </w:r>
      <w:r w:rsidR="009D49B8" w:rsidRPr="006B3D19">
        <w:rPr>
          <w:sz w:val="19"/>
          <w:szCs w:val="19"/>
          <w:lang w:val="en-IN" w:eastAsia="en-IN"/>
        </w:rPr>
        <w:t xml:space="preserve"> </w:t>
      </w:r>
    </w:p>
    <w:p w:rsidR="00E75979" w:rsidRPr="006B3D19" w:rsidRDefault="00E7597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proofErr w:type="spellStart"/>
      <w:r w:rsidRPr="006B3D19">
        <w:rPr>
          <w:sz w:val="19"/>
          <w:szCs w:val="19"/>
          <w:lang w:val="en-IN" w:eastAsia="en-IN"/>
        </w:rPr>
        <w:t>Fossel</w:t>
      </w:r>
      <w:proofErr w:type="spellEnd"/>
      <w:r w:rsidRPr="006B3D19">
        <w:rPr>
          <w:sz w:val="19"/>
          <w:szCs w:val="19"/>
          <w:lang w:val="en-IN" w:eastAsia="en-IN"/>
        </w:rPr>
        <w:t xml:space="preserve"> M. </w:t>
      </w:r>
      <w:r w:rsidRPr="00B543D8">
        <w:rPr>
          <w:i/>
          <w:sz w:val="19"/>
          <w:szCs w:val="19"/>
          <w:lang w:val="en-IN" w:eastAsia="en-IN"/>
        </w:rPr>
        <w:t>Cells, Aging, and Human Disease</w:t>
      </w:r>
      <w:r w:rsidRPr="006B3D19">
        <w:rPr>
          <w:sz w:val="19"/>
          <w:szCs w:val="19"/>
          <w:lang w:val="en-IN" w:eastAsia="en-IN"/>
        </w:rPr>
        <w:t>. New York: Oxford University Press; 2004.</w:t>
      </w:r>
    </w:p>
    <w:p w:rsidR="00E75979" w:rsidRPr="006B3D19" w:rsidRDefault="00E7597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r w:rsidRPr="006B3D19">
        <w:rPr>
          <w:sz w:val="19"/>
          <w:szCs w:val="19"/>
          <w:lang w:val="en-IN" w:eastAsia="en-IN"/>
        </w:rPr>
        <w:t xml:space="preserve">Banks DA, </w:t>
      </w:r>
      <w:proofErr w:type="spellStart"/>
      <w:r w:rsidRPr="006B3D19">
        <w:rPr>
          <w:sz w:val="19"/>
          <w:szCs w:val="19"/>
          <w:lang w:val="en-IN" w:eastAsia="en-IN"/>
        </w:rPr>
        <w:t>Fossel</w:t>
      </w:r>
      <w:proofErr w:type="spellEnd"/>
      <w:r w:rsidRPr="006B3D19">
        <w:rPr>
          <w:sz w:val="19"/>
          <w:szCs w:val="19"/>
          <w:lang w:val="en-IN" w:eastAsia="en-IN"/>
        </w:rPr>
        <w:t xml:space="preserve"> M. Telomeres, Cancer, and Aging; Altering the Human Lifespan. </w:t>
      </w:r>
      <w:r w:rsidRPr="00B543D8">
        <w:rPr>
          <w:i/>
          <w:sz w:val="19"/>
          <w:szCs w:val="19"/>
          <w:lang w:val="en-IN" w:eastAsia="en-IN"/>
        </w:rPr>
        <w:t>JAMA</w:t>
      </w:r>
      <w:r w:rsidRPr="006B3D19">
        <w:rPr>
          <w:sz w:val="19"/>
          <w:szCs w:val="19"/>
          <w:lang w:val="en-IN" w:eastAsia="en-IN"/>
        </w:rPr>
        <w:t xml:space="preserve"> 1997; 278:1345-1348. </w:t>
      </w:r>
      <w:hyperlink r:id="rId5" w:history="1">
        <w:r w:rsidRPr="006B3D19">
          <w:rPr>
            <w:rStyle w:val="Hyperlink"/>
            <w:sz w:val="19"/>
            <w:szCs w:val="19"/>
            <w:lang w:val="en-IN" w:eastAsia="en-IN"/>
          </w:rPr>
          <w:t>https://doi.org/10.1001/jama.1997.03550160065040</w:t>
        </w:r>
      </w:hyperlink>
    </w:p>
    <w:p w:rsidR="00E75979" w:rsidRPr="006B3D19" w:rsidRDefault="00E7597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proofErr w:type="spellStart"/>
      <w:r w:rsidRPr="006B3D19">
        <w:rPr>
          <w:sz w:val="19"/>
          <w:szCs w:val="19"/>
          <w:lang w:val="en-IN" w:eastAsia="en-IN"/>
        </w:rPr>
        <w:t>Fossel</w:t>
      </w:r>
      <w:proofErr w:type="spellEnd"/>
      <w:r w:rsidRPr="006B3D19">
        <w:rPr>
          <w:sz w:val="19"/>
          <w:szCs w:val="19"/>
          <w:lang w:val="en-IN" w:eastAsia="en-IN"/>
        </w:rPr>
        <w:t xml:space="preserve"> M. Telomerase and the aging cell; Implications for Human Health. </w:t>
      </w:r>
      <w:r w:rsidRPr="00B543D8">
        <w:rPr>
          <w:i/>
          <w:sz w:val="19"/>
          <w:szCs w:val="19"/>
          <w:lang w:val="en-IN" w:eastAsia="en-IN"/>
        </w:rPr>
        <w:t>JAMA</w:t>
      </w:r>
      <w:r w:rsidRPr="006B3D19">
        <w:rPr>
          <w:sz w:val="19"/>
          <w:szCs w:val="19"/>
          <w:lang w:val="en-IN" w:eastAsia="en-IN"/>
        </w:rPr>
        <w:t xml:space="preserve"> 1998; 279:1732-1735. </w:t>
      </w:r>
      <w:hyperlink r:id="rId6" w:history="1">
        <w:r w:rsidRPr="006B3D19">
          <w:rPr>
            <w:rStyle w:val="Hyperlink"/>
            <w:sz w:val="19"/>
            <w:szCs w:val="19"/>
            <w:lang w:val="en-IN" w:eastAsia="en-IN"/>
          </w:rPr>
          <w:t>https://doi.org/10.1001/jama.279.21.1732</w:t>
        </w:r>
      </w:hyperlink>
    </w:p>
    <w:p w:rsidR="00351E9B" w:rsidRPr="006B3D19" w:rsidRDefault="006B3D1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r w:rsidRPr="006B3D19">
        <w:rPr>
          <w:sz w:val="19"/>
          <w:szCs w:val="19"/>
          <w:lang w:val="en-IN" w:eastAsia="en-IN"/>
        </w:rPr>
        <w:t xml:space="preserve">Bodnar AG, Chiu C, </w:t>
      </w:r>
      <w:proofErr w:type="spellStart"/>
      <w:r w:rsidRPr="006B3D19">
        <w:rPr>
          <w:sz w:val="19"/>
          <w:szCs w:val="19"/>
          <w:lang w:val="en-IN" w:eastAsia="en-IN"/>
        </w:rPr>
        <w:t>Frolkis</w:t>
      </w:r>
      <w:proofErr w:type="spellEnd"/>
      <w:r w:rsidRPr="006B3D19">
        <w:rPr>
          <w:sz w:val="19"/>
          <w:szCs w:val="19"/>
          <w:lang w:val="en-IN" w:eastAsia="en-IN"/>
        </w:rPr>
        <w:t xml:space="preserve"> M, Harley CB, Holt SE, </w:t>
      </w:r>
      <w:proofErr w:type="spellStart"/>
      <w:r w:rsidRPr="006B3D19">
        <w:rPr>
          <w:sz w:val="19"/>
          <w:szCs w:val="19"/>
          <w:lang w:val="en-IN" w:eastAsia="en-IN"/>
        </w:rPr>
        <w:t>Lichtsteiner</w:t>
      </w:r>
      <w:proofErr w:type="spellEnd"/>
      <w:r w:rsidRPr="006B3D19">
        <w:rPr>
          <w:sz w:val="19"/>
          <w:szCs w:val="19"/>
          <w:lang w:val="en-IN" w:eastAsia="en-IN"/>
        </w:rPr>
        <w:t xml:space="preserve"> S, Morin GB, Ouellette M, Shay JW, Wright WE. Extension of </w:t>
      </w:r>
      <w:proofErr w:type="gramStart"/>
      <w:r w:rsidRPr="006B3D19">
        <w:rPr>
          <w:sz w:val="19"/>
          <w:szCs w:val="19"/>
          <w:lang w:val="en-IN" w:eastAsia="en-IN"/>
        </w:rPr>
        <w:t>Life-Span</w:t>
      </w:r>
      <w:proofErr w:type="gramEnd"/>
      <w:r w:rsidRPr="006B3D19">
        <w:rPr>
          <w:sz w:val="19"/>
          <w:szCs w:val="19"/>
          <w:lang w:val="en-IN" w:eastAsia="en-IN"/>
        </w:rPr>
        <w:t xml:space="preserve"> by Introduction of Telomerase into Normal Human Cells. </w:t>
      </w:r>
      <w:r w:rsidRPr="00B543D8">
        <w:rPr>
          <w:i/>
          <w:sz w:val="19"/>
          <w:szCs w:val="19"/>
          <w:lang w:val="en-IN" w:eastAsia="en-IN"/>
        </w:rPr>
        <w:t>Science</w:t>
      </w:r>
      <w:r w:rsidRPr="006B3D19">
        <w:rPr>
          <w:sz w:val="19"/>
          <w:szCs w:val="19"/>
          <w:lang w:val="en-IN" w:eastAsia="en-IN"/>
        </w:rPr>
        <w:t xml:space="preserve"> 1998; 279:349-352. </w:t>
      </w:r>
      <w:hyperlink r:id="rId7" w:history="1">
        <w:r w:rsidRPr="006B3D19">
          <w:rPr>
            <w:rStyle w:val="Hyperlink"/>
            <w:sz w:val="19"/>
            <w:szCs w:val="19"/>
            <w:lang w:val="en-IN" w:eastAsia="en-IN"/>
          </w:rPr>
          <w:t>https://doi.org/10.1126/science.279.5349.349</w:t>
        </w:r>
      </w:hyperlink>
    </w:p>
    <w:p w:rsidR="006B3D19" w:rsidRPr="006B3D19" w:rsidRDefault="006B3D1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r w:rsidRPr="006B3D19">
        <w:rPr>
          <w:sz w:val="19"/>
          <w:szCs w:val="19"/>
          <w:lang w:val="en-IN" w:eastAsia="en-IN"/>
        </w:rPr>
        <w:t xml:space="preserve">Funk WD, Wang CK, Shelton DN, Harley CB, </w:t>
      </w:r>
      <w:proofErr w:type="spellStart"/>
      <w:r w:rsidRPr="006B3D19">
        <w:rPr>
          <w:sz w:val="19"/>
          <w:szCs w:val="19"/>
          <w:lang w:val="en-IN" w:eastAsia="en-IN"/>
        </w:rPr>
        <w:t>Pagon</w:t>
      </w:r>
      <w:proofErr w:type="spellEnd"/>
      <w:r w:rsidRPr="006B3D19">
        <w:rPr>
          <w:sz w:val="19"/>
          <w:szCs w:val="19"/>
          <w:lang w:val="en-IN" w:eastAsia="en-IN"/>
        </w:rPr>
        <w:t xml:space="preserve"> GD, </w:t>
      </w:r>
      <w:proofErr w:type="spellStart"/>
      <w:r w:rsidRPr="006B3D19">
        <w:rPr>
          <w:sz w:val="19"/>
          <w:szCs w:val="19"/>
          <w:lang w:val="en-IN" w:eastAsia="en-IN"/>
        </w:rPr>
        <w:t>Hoeffler</w:t>
      </w:r>
      <w:proofErr w:type="spellEnd"/>
      <w:r w:rsidRPr="006B3D19">
        <w:rPr>
          <w:sz w:val="19"/>
          <w:szCs w:val="19"/>
          <w:lang w:val="en-IN" w:eastAsia="en-IN"/>
        </w:rPr>
        <w:t xml:space="preserve"> WK. Telomerase expression restores dermal integrity to in vitro-aged fibroblasts in a reconstituted skin model. </w:t>
      </w:r>
      <w:r w:rsidRPr="00B543D8">
        <w:rPr>
          <w:i/>
          <w:sz w:val="19"/>
          <w:szCs w:val="19"/>
          <w:lang w:val="en-IN" w:eastAsia="en-IN"/>
        </w:rPr>
        <w:t xml:space="preserve">Exp Cell Res </w:t>
      </w:r>
      <w:r w:rsidRPr="006B3D19">
        <w:rPr>
          <w:sz w:val="19"/>
          <w:szCs w:val="19"/>
          <w:lang w:val="en-IN" w:eastAsia="en-IN"/>
        </w:rPr>
        <w:t xml:space="preserve">2000; 258:270-278. </w:t>
      </w:r>
      <w:hyperlink r:id="rId8" w:history="1">
        <w:r w:rsidRPr="006B3D19">
          <w:rPr>
            <w:rStyle w:val="Hyperlink"/>
            <w:sz w:val="19"/>
            <w:szCs w:val="19"/>
            <w:lang w:val="en-IN" w:eastAsia="en-IN"/>
          </w:rPr>
          <w:t>https://doi.org/10.1006/excr.2000.4945</w:t>
        </w:r>
      </w:hyperlink>
    </w:p>
    <w:p w:rsidR="006B3D19" w:rsidRPr="006B3D19" w:rsidRDefault="006B3D1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proofErr w:type="spellStart"/>
      <w:r w:rsidRPr="006B3D19">
        <w:rPr>
          <w:sz w:val="19"/>
          <w:szCs w:val="19"/>
          <w:lang w:val="en-IN" w:eastAsia="en-IN"/>
        </w:rPr>
        <w:t>Jaskelioff</w:t>
      </w:r>
      <w:proofErr w:type="spellEnd"/>
      <w:r w:rsidRPr="006B3D19">
        <w:rPr>
          <w:sz w:val="19"/>
          <w:szCs w:val="19"/>
          <w:lang w:val="en-IN" w:eastAsia="en-IN"/>
        </w:rPr>
        <w:t xml:space="preserve"> M, Muller FL, Paik JH, Thomas E, Jiang S, Adams A, </w:t>
      </w:r>
      <w:proofErr w:type="spellStart"/>
      <w:r w:rsidRPr="006B3D19">
        <w:rPr>
          <w:sz w:val="19"/>
          <w:szCs w:val="19"/>
          <w:lang w:val="en-IN" w:eastAsia="en-IN"/>
        </w:rPr>
        <w:t>Sahin</w:t>
      </w:r>
      <w:proofErr w:type="spellEnd"/>
      <w:r w:rsidRPr="006B3D19">
        <w:rPr>
          <w:sz w:val="19"/>
          <w:szCs w:val="19"/>
          <w:lang w:val="en-IN" w:eastAsia="en-IN"/>
        </w:rPr>
        <w:t xml:space="preserve"> E, </w:t>
      </w:r>
      <w:proofErr w:type="spellStart"/>
      <w:r w:rsidRPr="006B3D19">
        <w:rPr>
          <w:sz w:val="19"/>
          <w:szCs w:val="19"/>
          <w:lang w:val="en-IN" w:eastAsia="en-IN"/>
        </w:rPr>
        <w:t>Kost-Alimova</w:t>
      </w:r>
      <w:proofErr w:type="spellEnd"/>
      <w:r w:rsidRPr="006B3D19">
        <w:rPr>
          <w:sz w:val="19"/>
          <w:szCs w:val="19"/>
          <w:lang w:val="en-IN" w:eastAsia="en-IN"/>
        </w:rPr>
        <w:t xml:space="preserve"> M, </w:t>
      </w:r>
      <w:proofErr w:type="spellStart"/>
      <w:r w:rsidRPr="006B3D19">
        <w:rPr>
          <w:sz w:val="19"/>
          <w:szCs w:val="19"/>
          <w:lang w:val="en-IN" w:eastAsia="en-IN"/>
        </w:rPr>
        <w:t>Protopopov</w:t>
      </w:r>
      <w:proofErr w:type="spellEnd"/>
      <w:r w:rsidRPr="006B3D19">
        <w:rPr>
          <w:sz w:val="19"/>
          <w:szCs w:val="19"/>
          <w:lang w:val="en-IN" w:eastAsia="en-IN"/>
        </w:rPr>
        <w:t xml:space="preserve"> A, </w:t>
      </w:r>
      <w:proofErr w:type="spellStart"/>
      <w:r w:rsidRPr="006B3D19">
        <w:rPr>
          <w:sz w:val="19"/>
          <w:szCs w:val="19"/>
          <w:lang w:val="en-IN" w:eastAsia="en-IN"/>
        </w:rPr>
        <w:t>Cadiñanos</w:t>
      </w:r>
      <w:proofErr w:type="spellEnd"/>
      <w:r w:rsidRPr="006B3D19">
        <w:rPr>
          <w:sz w:val="19"/>
          <w:szCs w:val="19"/>
          <w:lang w:val="en-IN" w:eastAsia="en-IN"/>
        </w:rPr>
        <w:t xml:space="preserve"> J, Horner JW, </w:t>
      </w:r>
      <w:proofErr w:type="spellStart"/>
      <w:r w:rsidRPr="006B3D19">
        <w:rPr>
          <w:sz w:val="19"/>
          <w:szCs w:val="19"/>
          <w:lang w:val="en-IN" w:eastAsia="en-IN"/>
        </w:rPr>
        <w:t>Maratos</w:t>
      </w:r>
      <w:proofErr w:type="spellEnd"/>
      <w:r w:rsidRPr="006B3D19">
        <w:rPr>
          <w:sz w:val="19"/>
          <w:szCs w:val="19"/>
          <w:lang w:val="en-IN" w:eastAsia="en-IN"/>
        </w:rPr>
        <w:t xml:space="preserve">-Flier E, DePinho RA. Telomerase reactivation reverses tissue degeneration in aged telomerase deficient mice. </w:t>
      </w:r>
      <w:r w:rsidRPr="00B543D8">
        <w:rPr>
          <w:i/>
          <w:sz w:val="19"/>
          <w:szCs w:val="19"/>
          <w:lang w:val="en-IN" w:eastAsia="en-IN"/>
        </w:rPr>
        <w:t>Nature</w:t>
      </w:r>
      <w:r w:rsidRPr="006B3D19">
        <w:rPr>
          <w:sz w:val="19"/>
          <w:szCs w:val="19"/>
          <w:lang w:val="en-IN" w:eastAsia="en-IN"/>
        </w:rPr>
        <w:t xml:space="preserve"> 2011; 469:102-106. </w:t>
      </w:r>
      <w:hyperlink r:id="rId9" w:history="1">
        <w:r w:rsidRPr="006B3D19">
          <w:rPr>
            <w:rStyle w:val="Hyperlink"/>
            <w:sz w:val="19"/>
            <w:szCs w:val="19"/>
            <w:lang w:val="en-IN" w:eastAsia="en-IN"/>
          </w:rPr>
          <w:t>https://doi.org/10.1038/nature09603</w:t>
        </w:r>
      </w:hyperlink>
    </w:p>
    <w:p w:rsidR="006B3D19" w:rsidRDefault="006B3D19"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r w:rsidRPr="006B3D19">
        <w:rPr>
          <w:sz w:val="19"/>
          <w:szCs w:val="19"/>
          <w:lang w:val="en-IN" w:eastAsia="en-IN"/>
        </w:rPr>
        <w:t xml:space="preserve">de Jesus BB, Vera E, </w:t>
      </w:r>
      <w:proofErr w:type="spellStart"/>
      <w:r w:rsidRPr="006B3D19">
        <w:rPr>
          <w:sz w:val="19"/>
          <w:szCs w:val="19"/>
          <w:lang w:val="en-IN" w:eastAsia="en-IN"/>
        </w:rPr>
        <w:t>Schneeberger</w:t>
      </w:r>
      <w:proofErr w:type="spellEnd"/>
      <w:r w:rsidRPr="006B3D19">
        <w:rPr>
          <w:sz w:val="19"/>
          <w:szCs w:val="19"/>
          <w:lang w:val="en-IN" w:eastAsia="en-IN"/>
        </w:rPr>
        <w:t xml:space="preserve"> K, </w:t>
      </w:r>
      <w:proofErr w:type="spellStart"/>
      <w:r w:rsidRPr="006B3D19">
        <w:rPr>
          <w:sz w:val="19"/>
          <w:szCs w:val="19"/>
          <w:lang w:val="en-IN" w:eastAsia="en-IN"/>
        </w:rPr>
        <w:t>Tejera</w:t>
      </w:r>
      <w:proofErr w:type="spellEnd"/>
      <w:r w:rsidRPr="006B3D19">
        <w:rPr>
          <w:sz w:val="19"/>
          <w:szCs w:val="19"/>
          <w:lang w:val="en-IN" w:eastAsia="en-IN"/>
        </w:rPr>
        <w:t xml:space="preserve"> AM, </w:t>
      </w:r>
      <w:proofErr w:type="spellStart"/>
      <w:r w:rsidRPr="006B3D19">
        <w:rPr>
          <w:sz w:val="19"/>
          <w:szCs w:val="19"/>
          <w:lang w:val="en-IN" w:eastAsia="en-IN"/>
        </w:rPr>
        <w:t>Ayuso</w:t>
      </w:r>
      <w:proofErr w:type="spellEnd"/>
      <w:r w:rsidRPr="006B3D19">
        <w:rPr>
          <w:sz w:val="19"/>
          <w:szCs w:val="19"/>
          <w:lang w:val="en-IN" w:eastAsia="en-IN"/>
        </w:rPr>
        <w:t xml:space="preserve"> E, Bosch F, </w:t>
      </w:r>
      <w:proofErr w:type="spellStart"/>
      <w:r w:rsidRPr="006B3D19">
        <w:rPr>
          <w:sz w:val="19"/>
          <w:szCs w:val="19"/>
          <w:lang w:val="en-IN" w:eastAsia="en-IN"/>
        </w:rPr>
        <w:t>Blasco</w:t>
      </w:r>
      <w:proofErr w:type="spellEnd"/>
      <w:r w:rsidRPr="006B3D19">
        <w:rPr>
          <w:sz w:val="19"/>
          <w:szCs w:val="19"/>
          <w:lang w:val="en-IN" w:eastAsia="en-IN"/>
        </w:rPr>
        <w:t xml:space="preserve"> MA. Telomerase gene therapy in adult and old mice delays aging and increases longevity without increasing cancer. </w:t>
      </w:r>
      <w:r w:rsidRPr="00B543D8">
        <w:rPr>
          <w:sz w:val="19"/>
          <w:szCs w:val="19"/>
          <w:lang w:val="en-IN" w:eastAsia="en-IN"/>
        </w:rPr>
        <w:t>EMBO Mol Med</w:t>
      </w:r>
      <w:r w:rsidRPr="006B3D19">
        <w:rPr>
          <w:sz w:val="19"/>
          <w:szCs w:val="19"/>
          <w:lang w:val="en-IN" w:eastAsia="en-IN"/>
        </w:rPr>
        <w:t xml:space="preserve"> 2012; 4:691-704. </w:t>
      </w:r>
      <w:hyperlink r:id="rId10" w:history="1">
        <w:r w:rsidRPr="006B3D19">
          <w:rPr>
            <w:rStyle w:val="Hyperlink"/>
            <w:sz w:val="19"/>
            <w:szCs w:val="19"/>
            <w:lang w:val="en-IN" w:eastAsia="en-IN"/>
          </w:rPr>
          <w:t>https://doi.org/10.1002/emmm.201200245</w:t>
        </w:r>
      </w:hyperlink>
    </w:p>
    <w:p w:rsidR="00A40B80" w:rsidRPr="006B3D19" w:rsidRDefault="00A40B80" w:rsidP="006B3D19">
      <w:pPr>
        <w:numPr>
          <w:ilvl w:val="0"/>
          <w:numId w:val="16"/>
        </w:numPr>
        <w:shd w:val="clear" w:color="auto" w:fill="FFFFFF"/>
        <w:tabs>
          <w:tab w:val="clear" w:pos="720"/>
          <w:tab w:val="num" w:pos="360"/>
        </w:tabs>
        <w:spacing w:before="100" w:beforeAutospacing="1" w:after="120"/>
        <w:ind w:left="360"/>
        <w:contextualSpacing/>
        <w:jc w:val="left"/>
        <w:rPr>
          <w:sz w:val="19"/>
          <w:szCs w:val="19"/>
          <w:lang w:val="en-IN" w:eastAsia="en-IN"/>
        </w:rPr>
      </w:pPr>
      <w:proofErr w:type="spellStart"/>
      <w:r>
        <w:rPr>
          <w:sz w:val="19"/>
          <w:szCs w:val="19"/>
          <w:lang w:val="en-IN" w:eastAsia="en-IN"/>
        </w:rPr>
        <w:t>Fossel</w:t>
      </w:r>
      <w:proofErr w:type="spellEnd"/>
      <w:r>
        <w:rPr>
          <w:sz w:val="19"/>
          <w:szCs w:val="19"/>
          <w:lang w:val="en-IN" w:eastAsia="en-IN"/>
        </w:rPr>
        <w:t xml:space="preserve"> M. A unified model of dementias and age-related neurodegeneration. </w:t>
      </w:r>
      <w:r w:rsidRPr="00A40B80">
        <w:rPr>
          <w:i/>
          <w:sz w:val="19"/>
          <w:szCs w:val="19"/>
          <w:lang w:val="en-IN" w:eastAsia="en-IN"/>
        </w:rPr>
        <w:t>Alzheimer’s &amp; Dementia</w:t>
      </w:r>
      <w:r>
        <w:rPr>
          <w:sz w:val="19"/>
          <w:szCs w:val="19"/>
          <w:lang w:val="en-IN" w:eastAsia="en-IN"/>
        </w:rPr>
        <w:t>. 2019; In press.</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F61F17" w:rsidRDefault="00F61F17" w:rsidP="00F61F17">
      <w:pPr>
        <w:jc w:val="both"/>
        <w:rPr>
          <w:sz w:val="19"/>
          <w:szCs w:val="19"/>
        </w:rPr>
      </w:pPr>
      <w:r w:rsidRPr="00F61F17">
        <w:rPr>
          <w:sz w:val="19"/>
          <w:szCs w:val="19"/>
        </w:rPr>
        <w:t xml:space="preserve">Dr. </w:t>
      </w:r>
      <w:proofErr w:type="spellStart"/>
      <w:r w:rsidRPr="00F61F17">
        <w:rPr>
          <w:sz w:val="19"/>
          <w:szCs w:val="19"/>
        </w:rPr>
        <w:t>Fossel</w:t>
      </w:r>
      <w:proofErr w:type="spellEnd"/>
      <w:r w:rsidRPr="00F61F17">
        <w:rPr>
          <w:sz w:val="19"/>
          <w:szCs w:val="19"/>
        </w:rPr>
        <w:t xml:space="preserve"> is president of </w:t>
      </w:r>
      <w:hyperlink r:id="rId11" w:history="1">
        <w:proofErr w:type="spellStart"/>
        <w:r w:rsidRPr="00F61F17">
          <w:rPr>
            <w:rStyle w:val="Hyperlink"/>
            <w:rFonts w:eastAsia="MS Mincho"/>
            <w:sz w:val="19"/>
            <w:szCs w:val="19"/>
          </w:rPr>
          <w:t>Telocyte</w:t>
        </w:r>
        <w:proofErr w:type="spellEnd"/>
      </w:hyperlink>
      <w:r w:rsidRPr="00F61F17">
        <w:rPr>
          <w:sz w:val="19"/>
          <w:szCs w:val="19"/>
        </w:rPr>
        <w:t xml:space="preserve">, a biotech company targeting age-related disease, using telomerase therapy in FDA trials. He is the world’s foremost expert on telomerase therapy. In addition to more than 90 academic articles, in JAMA and elsewhere, he </w:t>
      </w:r>
      <w:bookmarkStart w:id="2" w:name="_GoBack"/>
      <w:bookmarkEnd w:id="2"/>
      <w:r w:rsidRPr="00F61F17">
        <w:rPr>
          <w:sz w:val="19"/>
          <w:szCs w:val="19"/>
        </w:rPr>
        <w:t xml:space="preserve">authored  </w:t>
      </w:r>
      <w:hyperlink r:id="rId12" w:history="1">
        <w:r w:rsidRPr="00F61F17">
          <w:rPr>
            <w:rStyle w:val="Hyperlink"/>
            <w:rFonts w:eastAsia="MS Mincho"/>
            <w:i/>
            <w:sz w:val="19"/>
            <w:szCs w:val="19"/>
          </w:rPr>
          <w:t>Reversing Human Aging</w:t>
        </w:r>
      </w:hyperlink>
      <w:r w:rsidRPr="00F61F17">
        <w:rPr>
          <w:sz w:val="19"/>
          <w:szCs w:val="19"/>
        </w:rPr>
        <w:t xml:space="preserve">, </w:t>
      </w:r>
      <w:hyperlink r:id="rId13" w:history="1">
        <w:r w:rsidRPr="00F61F17">
          <w:rPr>
            <w:rStyle w:val="Hyperlink"/>
            <w:rFonts w:eastAsia="MS Mincho"/>
            <w:i/>
            <w:sz w:val="19"/>
            <w:szCs w:val="19"/>
          </w:rPr>
          <w:t>The Telomerase Revolution</w:t>
        </w:r>
      </w:hyperlink>
      <w:r w:rsidRPr="00F61F17">
        <w:rPr>
          <w:sz w:val="19"/>
          <w:szCs w:val="19"/>
        </w:rPr>
        <w:t xml:space="preserve">, and </w:t>
      </w:r>
      <w:hyperlink r:id="rId14" w:history="1">
        <w:r w:rsidRPr="00F61F17">
          <w:rPr>
            <w:rStyle w:val="Hyperlink"/>
            <w:rFonts w:eastAsia="MS Mincho"/>
            <w:i/>
            <w:sz w:val="19"/>
            <w:szCs w:val="19"/>
          </w:rPr>
          <w:t>Cells, Aging, and Human Disease</w:t>
        </w:r>
      </w:hyperlink>
      <w:r w:rsidRPr="00F61F17">
        <w:rPr>
          <w:sz w:val="19"/>
          <w:szCs w:val="19"/>
        </w:rPr>
        <w:t xml:space="preserve">, the only medical textbook in this area. He won an NSF fellowship, lectured at NIH, and completed his PhD and MD at Stanford University, where he taught neuroanatomy. He was director of the </w:t>
      </w:r>
      <w:r w:rsidRPr="00F61F17">
        <w:rPr>
          <w:i/>
          <w:sz w:val="19"/>
          <w:szCs w:val="19"/>
        </w:rPr>
        <w:t>American Aging Association</w:t>
      </w:r>
      <w:r w:rsidRPr="00F61F17">
        <w:rPr>
          <w:sz w:val="19"/>
          <w:szCs w:val="19"/>
        </w:rPr>
        <w:t xml:space="preserve">, founding editor of </w:t>
      </w:r>
      <w:r w:rsidRPr="00F61F17">
        <w:rPr>
          <w:i/>
          <w:sz w:val="19"/>
          <w:szCs w:val="19"/>
        </w:rPr>
        <w:t>Rejuvenation Research</w:t>
      </w:r>
      <w:r w:rsidRPr="00F61F17">
        <w:rPr>
          <w:sz w:val="19"/>
          <w:szCs w:val="19"/>
        </w:rPr>
        <w:t xml:space="preserve">, and is editor-in-chief of </w:t>
      </w:r>
      <w:r w:rsidRPr="00F61F17">
        <w:rPr>
          <w:i/>
          <w:sz w:val="19"/>
          <w:szCs w:val="19"/>
        </w:rPr>
        <w:t>OBM Geriatrics</w:t>
      </w:r>
      <w:r w:rsidRPr="00F61F17">
        <w:rPr>
          <w:sz w:val="19"/>
          <w:szCs w:val="19"/>
        </w:rPr>
        <w:t>.</w:t>
      </w:r>
      <w:r w:rsidR="00861508" w:rsidRPr="00F61F17">
        <w:rPr>
          <w:sz w:val="19"/>
          <w:szCs w:val="19"/>
        </w:rPr>
        <w:tab/>
      </w:r>
      <w:r w:rsidR="00861508" w:rsidRPr="00F61F17">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Presenting author details</w:t>
      </w:r>
      <w:r w:rsidR="006B3D19">
        <w:rPr>
          <w:b/>
          <w:sz w:val="19"/>
          <w:szCs w:val="19"/>
          <w:lang w:val="en-NZ"/>
        </w:rPr>
        <w:t>:</w:t>
      </w:r>
      <w:r w:rsidRPr="0005164C">
        <w:rPr>
          <w:b/>
          <w:sz w:val="19"/>
          <w:szCs w:val="19"/>
          <w:lang w:val="en-NZ"/>
        </w:rPr>
        <w:t xml:space="preserve"> </w:t>
      </w:r>
    </w:p>
    <w:p w:rsidR="00272C82" w:rsidRPr="0005164C" w:rsidRDefault="00272C82" w:rsidP="00861508">
      <w:pPr>
        <w:autoSpaceDE w:val="0"/>
        <w:autoSpaceDN w:val="0"/>
        <w:adjustRightInd w:val="0"/>
        <w:jc w:val="left"/>
        <w:rPr>
          <w:sz w:val="19"/>
          <w:szCs w:val="19"/>
          <w:lang w:val="en-NZ"/>
        </w:rPr>
      </w:pPr>
    </w:p>
    <w:p w:rsidR="00272C82" w:rsidRPr="0005164C" w:rsidRDefault="006B3D19" w:rsidP="00861508">
      <w:pPr>
        <w:autoSpaceDE w:val="0"/>
        <w:autoSpaceDN w:val="0"/>
        <w:adjustRightInd w:val="0"/>
        <w:jc w:val="left"/>
        <w:rPr>
          <w:sz w:val="19"/>
          <w:szCs w:val="19"/>
          <w:lang w:val="en-NZ"/>
        </w:rPr>
      </w:pPr>
      <w:r>
        <w:rPr>
          <w:noProof/>
          <w:sz w:val="19"/>
          <w:szCs w:val="19"/>
          <w:lang w:val="en-GB"/>
        </w:rPr>
        <w:drawing>
          <wp:anchor distT="0" distB="0" distL="114300" distR="114300" simplePos="0" relativeHeight="251658240" behindDoc="0" locked="0" layoutInCell="1" allowOverlap="1">
            <wp:simplePos x="0" y="0"/>
            <wp:positionH relativeFrom="column">
              <wp:posOffset>47625</wp:posOffset>
            </wp:positionH>
            <wp:positionV relativeFrom="paragraph">
              <wp:posOffset>36830</wp:posOffset>
            </wp:positionV>
            <wp:extent cx="1061085" cy="1120140"/>
            <wp:effectExtent l="0" t="0" r="0" b="0"/>
            <wp:wrapSquare wrapText="bothSides"/>
            <wp:docPr id="4" name="Picture 4" descr="C:\Users\Micha\Documents\Files\AA - TELOCYTE\Website , talks, etc\Images &amp; Icons\Michael Foss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a\Documents\Files\AA - TELOCYTE\Website , talks, etc\Images &amp; Icons\Michael Fossel 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1085" cy="1120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61508" w:rsidRPr="0005164C">
        <w:rPr>
          <w:sz w:val="19"/>
          <w:szCs w:val="19"/>
          <w:lang w:val="en-NZ"/>
        </w:rPr>
        <w:br/>
      </w: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E75979" w:rsidRDefault="00E75979" w:rsidP="00861508">
      <w:pPr>
        <w:autoSpaceDE w:val="0"/>
        <w:autoSpaceDN w:val="0"/>
        <w:adjustRightInd w:val="0"/>
        <w:jc w:val="left"/>
        <w:rPr>
          <w:sz w:val="19"/>
          <w:szCs w:val="19"/>
          <w:lang w:val="en-NZ"/>
        </w:rPr>
      </w:pP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E75979">
        <w:rPr>
          <w:sz w:val="19"/>
          <w:szCs w:val="19"/>
          <w:lang w:val="en-NZ"/>
        </w:rPr>
        <w:t xml:space="preserve"> Michael </w:t>
      </w:r>
      <w:proofErr w:type="spellStart"/>
      <w:r w:rsidR="00E75979">
        <w:rPr>
          <w:sz w:val="19"/>
          <w:szCs w:val="19"/>
          <w:lang w:val="en-NZ"/>
        </w:rPr>
        <w:t>Fossel</w:t>
      </w:r>
      <w:proofErr w:type="spellEnd"/>
      <w:r w:rsidR="00E75979">
        <w:rPr>
          <w:sz w:val="19"/>
          <w:szCs w:val="19"/>
          <w:lang w:val="en-NZ"/>
        </w:rPr>
        <w:t>, MD, PhD</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E75979">
        <w:rPr>
          <w:sz w:val="19"/>
          <w:szCs w:val="19"/>
          <w:lang w:val="en-NZ"/>
        </w:rPr>
        <w:t xml:space="preserve"> 1-616-570-4515</w:t>
      </w:r>
      <w:r w:rsidRPr="0005164C">
        <w:rPr>
          <w:sz w:val="19"/>
          <w:szCs w:val="19"/>
          <w:lang w:val="en-NZ"/>
        </w:rPr>
        <w:br/>
        <w:t>Twitter account:</w:t>
      </w:r>
      <w:r w:rsidR="00E75979">
        <w:rPr>
          <w:sz w:val="19"/>
          <w:szCs w:val="19"/>
          <w:lang w:val="en-NZ"/>
        </w:rPr>
        <w:t xml:space="preserve"> @</w:t>
      </w:r>
      <w:proofErr w:type="spellStart"/>
      <w:r w:rsidR="00E75979">
        <w:rPr>
          <w:sz w:val="19"/>
          <w:szCs w:val="19"/>
          <w:lang w:val="en-NZ"/>
        </w:rPr>
        <w:t>FosselMichael</w:t>
      </w:r>
      <w:proofErr w:type="spellEnd"/>
      <w:r w:rsidRPr="0005164C">
        <w:rPr>
          <w:sz w:val="19"/>
          <w:szCs w:val="19"/>
          <w:lang w:val="en-NZ"/>
        </w:rPr>
        <w:br/>
        <w:t>Linked In account:</w:t>
      </w:r>
      <w:r w:rsidR="00E75979">
        <w:rPr>
          <w:sz w:val="19"/>
          <w:szCs w:val="19"/>
          <w:lang w:val="en-NZ"/>
        </w:rPr>
        <w:t xml:space="preserve"> </w:t>
      </w:r>
      <w:r w:rsidR="00E75979" w:rsidRPr="00E75979">
        <w:rPr>
          <w:sz w:val="19"/>
          <w:szCs w:val="19"/>
          <w:lang w:val="en-NZ"/>
        </w:rPr>
        <w:t>https://www.linkedin.com/in/michael-fossel-4196255/</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E75979">
        <w:rPr>
          <w:sz w:val="18"/>
          <w:szCs w:val="18"/>
          <w:lang w:val="en-IN"/>
        </w:rPr>
        <w:t xml:space="preserve"> </w:t>
      </w:r>
      <w:r w:rsidR="00E75979" w:rsidRPr="00E75979">
        <w:rPr>
          <w:sz w:val="18"/>
          <w:szCs w:val="18"/>
          <w:lang w:val="en-IN"/>
        </w:rPr>
        <w:t>528560335</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32939"/>
    <w:rsid w:val="005B520E"/>
    <w:rsid w:val="005B535B"/>
    <w:rsid w:val="006108A4"/>
    <w:rsid w:val="00663E31"/>
    <w:rsid w:val="006B3D19"/>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40B80"/>
    <w:rsid w:val="00A510F7"/>
    <w:rsid w:val="00AC6519"/>
    <w:rsid w:val="00B543D8"/>
    <w:rsid w:val="00CB1404"/>
    <w:rsid w:val="00CB66E6"/>
    <w:rsid w:val="00D031A9"/>
    <w:rsid w:val="00D319E1"/>
    <w:rsid w:val="00D9156D"/>
    <w:rsid w:val="00E177DC"/>
    <w:rsid w:val="00E75979"/>
    <w:rsid w:val="00E91219"/>
    <w:rsid w:val="00E918C4"/>
    <w:rsid w:val="00EA506F"/>
    <w:rsid w:val="00EE4362"/>
    <w:rsid w:val="00EF18D7"/>
    <w:rsid w:val="00EF1E8A"/>
    <w:rsid w:val="00EF3A1A"/>
    <w:rsid w:val="00F6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AE63F8"/>
  <w15:chartTrackingRefBased/>
  <w15:docId w15:val="{07C3F61B-78F8-4983-BB4D-81203E3D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styleId="UnresolvedMention">
    <w:name w:val="Unresolved Mention"/>
    <w:basedOn w:val="DefaultParagraphFont"/>
    <w:uiPriority w:val="99"/>
    <w:semiHidden/>
    <w:unhideWhenUsed/>
    <w:rsid w:val="00E75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doi.org/10.1006/excr.2000.4945" TargetMode="External"/><Relationship Id="rId13" Type="http://schemas.openxmlformats.org/officeDocument/2006/relationships/hyperlink" Target="http://www.amazon.com/Telomerase-Revolution-Enzyme-Aging%C2%85-Healthier/dp/194163169X/ref=sr_1_1?ie=UTF8&amp;qid=1426777801&amp;sr=8-1&amp;keywords=telomerase+revolution" TargetMode="External"/><Relationship Id="rId3" Type="http://schemas.openxmlformats.org/officeDocument/2006/relationships/settings" Target="settings.xml"/><Relationship Id="rId7" Type="http://schemas.openxmlformats.org/officeDocument/2006/relationships/hyperlink" Target="https://doi.org/10.1126/science.279.5349.349" TargetMode="External"/><Relationship Id="rId12" Type="http://schemas.openxmlformats.org/officeDocument/2006/relationships/hyperlink" Target="https://www.amazon.com/Reversing-Human-Aging-Michael-Fossel-ebook/dp/B00FKA8DDQ/ref=sr_1_3?crid=I40RA91C155Z&amp;keywords=reversing+human+aging&amp;qid=1569958393&amp;s=gateway&amp;sprefix=reversing+human+aging%2Caps%2C860&amp;sr=8-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i.org/10.1001/jama.279.21.1732" TargetMode="External"/><Relationship Id="rId11" Type="http://schemas.openxmlformats.org/officeDocument/2006/relationships/hyperlink" Target="http://www.telocyte.com/" TargetMode="External"/><Relationship Id="rId5" Type="http://schemas.openxmlformats.org/officeDocument/2006/relationships/hyperlink" Target="https://doi.org/10.1001/jama.1997.03550160065040" TargetMode="External"/><Relationship Id="rId15" Type="http://schemas.openxmlformats.org/officeDocument/2006/relationships/image" Target="media/image1.jpeg"/><Relationship Id="rId10" Type="http://schemas.openxmlformats.org/officeDocument/2006/relationships/hyperlink" Target="https://doi.org/10.1002/emmm.201200245" TargetMode="External"/><Relationship Id="rId4" Type="http://schemas.openxmlformats.org/officeDocument/2006/relationships/webSettings" Target="webSettings.xml"/><Relationship Id="rId9" Type="http://schemas.openxmlformats.org/officeDocument/2006/relationships/hyperlink" Target="https://doi.org/10.1038/nature09603" TargetMode="External"/><Relationship Id="rId14" Type="http://schemas.openxmlformats.org/officeDocument/2006/relationships/hyperlink" Target="http://www.amazon.com/Cells-Aging-Disease-Michael-Fossel-ebook/dp/B0013OXDTC/ref=asap_B000APTG28_1_4?s=books&amp;ie=UTF8&amp;qid=1416673102&amp;sr=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4735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Michael Fossel</cp:lastModifiedBy>
  <cp:revision>4</cp:revision>
  <dcterms:created xsi:type="dcterms:W3CDTF">2019-10-07T12:28:00Z</dcterms:created>
  <dcterms:modified xsi:type="dcterms:W3CDTF">2019-10-07T12:34:00Z</dcterms:modified>
</cp:coreProperties>
</file>