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9F7FC" w14:textId="77777777" w:rsidR="005C67AD" w:rsidRPr="00CB30B8" w:rsidRDefault="005C67AD" w:rsidP="005C67AD">
      <w:pPr>
        <w:widowControl/>
        <w:autoSpaceDE w:val="0"/>
        <w:autoSpaceDN w:val="0"/>
        <w:adjustRightInd w:val="0"/>
        <w:rPr>
          <w:rFonts w:asciiTheme="majorBidi" w:eastAsiaTheme="minorHAnsi" w:hAnsiTheme="majorBidi" w:cstheme="majorBidi"/>
          <w:b/>
          <w:bCs/>
          <w:sz w:val="28"/>
          <w:szCs w:val="28"/>
        </w:rPr>
      </w:pPr>
      <w:r w:rsidRPr="00CB30B8">
        <w:rPr>
          <w:rFonts w:asciiTheme="majorBidi" w:eastAsiaTheme="minorHAnsi" w:hAnsiTheme="majorBidi" w:cstheme="majorBidi"/>
          <w:b/>
          <w:bCs/>
          <w:sz w:val="28"/>
          <w:szCs w:val="28"/>
        </w:rPr>
        <w:t>Choosing Among Different Dimensions in A Newly Designed</w:t>
      </w:r>
      <w:r w:rsidRPr="00CB30B8">
        <w:rPr>
          <w:rFonts w:asciiTheme="majorBidi" w:eastAsiaTheme="minorHAnsi" w:hAnsiTheme="majorBidi" w:cstheme="majorBidi"/>
          <w:b/>
          <w:bCs/>
          <w:sz w:val="28"/>
          <w:szCs w:val="28"/>
        </w:rPr>
        <w:t xml:space="preserve"> </w:t>
      </w:r>
      <w:r w:rsidRPr="00CB30B8">
        <w:rPr>
          <w:rFonts w:asciiTheme="majorBidi" w:eastAsiaTheme="minorHAnsi" w:hAnsiTheme="majorBidi" w:cstheme="majorBidi"/>
          <w:b/>
          <w:bCs/>
          <w:sz w:val="28"/>
          <w:szCs w:val="28"/>
        </w:rPr>
        <w:t xml:space="preserve">Dental Implant, </w:t>
      </w:r>
    </w:p>
    <w:p w14:paraId="58FE2CB3" w14:textId="052CC9E5" w:rsidR="005C67AD" w:rsidRPr="00CB30B8" w:rsidRDefault="005C67AD" w:rsidP="005C67AD">
      <w:pPr>
        <w:widowControl/>
        <w:autoSpaceDE w:val="0"/>
        <w:autoSpaceDN w:val="0"/>
        <w:adjustRightInd w:val="0"/>
        <w:rPr>
          <w:rFonts w:asciiTheme="majorBidi" w:eastAsiaTheme="minorHAnsi" w:hAnsiTheme="majorBidi" w:cstheme="majorBidi"/>
          <w:b/>
          <w:bCs/>
          <w:sz w:val="28"/>
          <w:szCs w:val="28"/>
        </w:rPr>
      </w:pPr>
      <w:r w:rsidRPr="00CB30B8">
        <w:rPr>
          <w:rFonts w:asciiTheme="majorBidi" w:eastAsiaTheme="minorHAnsi" w:hAnsiTheme="majorBidi" w:cstheme="majorBidi"/>
          <w:b/>
          <w:bCs/>
          <w:sz w:val="28"/>
          <w:szCs w:val="28"/>
        </w:rPr>
        <w:t>3 Dimensional</w:t>
      </w:r>
      <w:r w:rsidRPr="00CB30B8">
        <w:rPr>
          <w:rFonts w:asciiTheme="majorBidi" w:eastAsiaTheme="minorHAnsi" w:hAnsiTheme="majorBidi" w:cstheme="majorBidi"/>
          <w:b/>
          <w:bCs/>
          <w:sz w:val="28"/>
          <w:szCs w:val="28"/>
        </w:rPr>
        <w:t xml:space="preserve"> </w:t>
      </w:r>
      <w:r w:rsidRPr="00CB30B8">
        <w:rPr>
          <w:rFonts w:asciiTheme="majorBidi" w:eastAsiaTheme="minorHAnsi" w:hAnsiTheme="majorBidi" w:cstheme="majorBidi"/>
          <w:b/>
          <w:bCs/>
          <w:sz w:val="28"/>
          <w:szCs w:val="28"/>
        </w:rPr>
        <w:t>FE</w:t>
      </w:r>
      <w:r w:rsidRPr="00CB30B8">
        <w:rPr>
          <w:rFonts w:asciiTheme="majorBidi" w:eastAsiaTheme="minorHAnsi" w:hAnsiTheme="majorBidi" w:cstheme="majorBidi"/>
          <w:b/>
          <w:bCs/>
          <w:sz w:val="28"/>
          <w:szCs w:val="28"/>
        </w:rPr>
        <w:t>A Comparative Study</w:t>
      </w:r>
    </w:p>
    <w:p w14:paraId="384895F2" w14:textId="2A05BA1A" w:rsidR="005C67AD" w:rsidRPr="005C67AD" w:rsidRDefault="005C67AD" w:rsidP="005C67AD">
      <w:pPr>
        <w:pStyle w:val="BodyText"/>
        <w:spacing w:before="73" w:line="198" w:lineRule="exact"/>
        <w:ind w:left="100" w:right="5987"/>
        <w:rPr>
          <w:rFonts w:ascii="Arial-BoldMT" w:eastAsiaTheme="minorHAnsi" w:hAnsi="Arial-BoldMT" w:cs="Arial-BoldMT"/>
          <w:b/>
          <w:bCs/>
          <w:sz w:val="28"/>
          <w:szCs w:val="28"/>
        </w:rPr>
      </w:pPr>
    </w:p>
    <w:p w14:paraId="0987352C" w14:textId="5F9F9900" w:rsidR="005973B9" w:rsidRDefault="005C67AD" w:rsidP="005C67AD">
      <w:pPr>
        <w:pStyle w:val="BodyText"/>
        <w:spacing w:before="73" w:line="198" w:lineRule="exact"/>
        <w:ind w:left="100" w:right="5987"/>
        <w:rPr>
          <w:rFonts w:ascii="Arial"/>
        </w:rPr>
      </w:pPr>
      <w:r>
        <w:rPr>
          <w:rFonts w:ascii="Arial"/>
        </w:rPr>
        <w:t>Faaiz Alhamdani, PhD, Ibn Sina University, Iraq</w:t>
      </w:r>
    </w:p>
    <w:p w14:paraId="08BD895E" w14:textId="51B562B7" w:rsidR="005C67AD" w:rsidRDefault="005C67AD" w:rsidP="005C67AD">
      <w:pPr>
        <w:pStyle w:val="BodyText"/>
        <w:spacing w:before="73" w:line="198" w:lineRule="exact"/>
        <w:ind w:left="100" w:right="5987"/>
        <w:rPr>
          <w:rFonts w:ascii="Arial"/>
        </w:rPr>
      </w:pPr>
      <w:r>
        <w:rPr>
          <w:rFonts w:ascii="Arial"/>
        </w:rPr>
        <w:t>Amjed Mahdi, BDS, Ibn Sina University, Iraq</w:t>
      </w:r>
    </w:p>
    <w:p w14:paraId="3698F586" w14:textId="3BE9FC99" w:rsidR="005C67AD" w:rsidRDefault="005C67AD" w:rsidP="005C67AD">
      <w:pPr>
        <w:pStyle w:val="BodyText"/>
        <w:spacing w:before="73" w:line="198" w:lineRule="exact"/>
        <w:ind w:left="100" w:right="5987"/>
        <w:rPr>
          <w:rFonts w:ascii="Arial"/>
        </w:rPr>
      </w:pPr>
      <w:proofErr w:type="spellStart"/>
      <w:r>
        <w:rPr>
          <w:rFonts w:ascii="Arial"/>
        </w:rPr>
        <w:t>Khawla</w:t>
      </w:r>
      <w:proofErr w:type="spellEnd"/>
      <w:r>
        <w:rPr>
          <w:rFonts w:ascii="Arial"/>
        </w:rPr>
        <w:t xml:space="preserve"> Hamid, MSc, Ibn Sina University, Iraq</w:t>
      </w:r>
    </w:p>
    <w:p w14:paraId="230F8FD5" w14:textId="77777777" w:rsidR="00AE3E37" w:rsidRDefault="00AE3E37">
      <w:pPr>
        <w:pStyle w:val="BodyText"/>
        <w:rPr>
          <w:rFonts w:ascii="Arial"/>
          <w:sz w:val="20"/>
        </w:rPr>
      </w:pPr>
    </w:p>
    <w:p w14:paraId="270DB6B9" w14:textId="77777777" w:rsidR="00AE3E37" w:rsidRDefault="00AE3E37">
      <w:pPr>
        <w:pStyle w:val="BodyText"/>
        <w:spacing w:before="3"/>
        <w:rPr>
          <w:rFonts w:ascii="Arial"/>
          <w:sz w:val="21"/>
        </w:rPr>
      </w:pPr>
    </w:p>
    <w:p w14:paraId="5427909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CE34308" w14:textId="77777777" w:rsidR="00AE3E37" w:rsidRDefault="00A9710C">
      <w:pPr>
        <w:pStyle w:val="Heading3"/>
        <w:spacing w:before="147"/>
        <w:jc w:val="both"/>
      </w:pPr>
      <w:r>
        <w:rPr>
          <w:color w:val="BF5A14"/>
        </w:rPr>
        <w:t>Abstract</w:t>
      </w:r>
      <w:r w:rsidR="00404E5B">
        <w:rPr>
          <w:color w:val="BF5A14"/>
        </w:rPr>
        <w:t xml:space="preserve"> (300 word limit)</w:t>
      </w:r>
    </w:p>
    <w:p w14:paraId="189C3495" w14:textId="0F84D98C" w:rsidR="005C67AD" w:rsidRDefault="005C67AD" w:rsidP="005C67AD">
      <w:pPr>
        <w:widowControl/>
        <w:autoSpaceDE w:val="0"/>
        <w:autoSpaceDN w:val="0"/>
        <w:adjustRightInd w:val="0"/>
        <w:jc w:val="both"/>
        <w:rPr>
          <w:rFonts w:ascii="ArialMT" w:eastAsiaTheme="minorHAnsi" w:hAnsi="ArialMT" w:cs="ArialMT"/>
          <w:sz w:val="16"/>
          <w:szCs w:val="16"/>
        </w:rPr>
      </w:pPr>
      <w:r>
        <w:rPr>
          <w:rFonts w:ascii="Arial-ItalicMT" w:eastAsiaTheme="minorHAnsi" w:hAnsi="Arial-ItalicMT" w:cs="Arial-ItalicMT"/>
          <w:i/>
          <w:iCs/>
          <w:sz w:val="16"/>
          <w:szCs w:val="16"/>
        </w:rPr>
        <w:t>Introduction</w:t>
      </w:r>
      <w:r>
        <w:rPr>
          <w:rFonts w:ascii="ArialMT" w:eastAsiaTheme="minorHAnsi" w:hAnsi="ArialMT" w:cs="ArialMT"/>
          <w:sz w:val="16"/>
          <w:szCs w:val="16"/>
        </w:rPr>
        <w:t>: There are many dental implant designs, which have been adopted by hundreds of dental implant</w:t>
      </w:r>
      <w:r>
        <w:rPr>
          <w:rFonts w:ascii="ArialMT" w:eastAsiaTheme="minorHAnsi" w:hAnsi="ArialMT" w:cs="ArialMT"/>
          <w:sz w:val="16"/>
          <w:szCs w:val="16"/>
        </w:rPr>
        <w:t xml:space="preserve"> </w:t>
      </w:r>
      <w:r>
        <w:rPr>
          <w:rFonts w:ascii="ArialMT" w:eastAsiaTheme="minorHAnsi" w:hAnsi="ArialMT" w:cs="ArialMT"/>
          <w:sz w:val="16"/>
          <w:szCs w:val="16"/>
        </w:rPr>
        <w:t>companies. These designs are modeled following certain micro and macro design criteria. One of these criteria is the</w:t>
      </w:r>
      <w:r>
        <w:rPr>
          <w:rFonts w:ascii="ArialMT" w:eastAsiaTheme="minorHAnsi" w:hAnsi="ArialMT" w:cs="ArialMT"/>
          <w:sz w:val="16"/>
          <w:szCs w:val="16"/>
        </w:rPr>
        <w:t xml:space="preserve"> </w:t>
      </w:r>
      <w:r>
        <w:rPr>
          <w:rFonts w:ascii="ArialMT" w:eastAsiaTheme="minorHAnsi" w:hAnsi="ArialMT" w:cs="ArialMT"/>
          <w:sz w:val="16"/>
          <w:szCs w:val="16"/>
        </w:rPr>
        <w:t>dental implant thread design. The aim of introducing a new dental implant with a modified reverse buttress design has</w:t>
      </w:r>
      <w:r>
        <w:rPr>
          <w:rFonts w:ascii="ArialMT" w:eastAsiaTheme="minorHAnsi" w:hAnsi="ArialMT" w:cs="ArialMT"/>
          <w:sz w:val="16"/>
          <w:szCs w:val="16"/>
        </w:rPr>
        <w:t xml:space="preserve"> </w:t>
      </w:r>
      <w:r>
        <w:rPr>
          <w:rFonts w:ascii="ArialMT" w:eastAsiaTheme="minorHAnsi" w:hAnsi="ArialMT" w:cs="ArialMT"/>
          <w:sz w:val="16"/>
          <w:szCs w:val="16"/>
        </w:rPr>
        <w:t>been suggested. The objective of the current study to choose the suitable implant material and dimensions among the</w:t>
      </w:r>
      <w:r>
        <w:rPr>
          <w:rFonts w:ascii="ArialMT" w:eastAsiaTheme="minorHAnsi" w:hAnsi="ArialMT" w:cs="ArialMT"/>
          <w:sz w:val="16"/>
          <w:szCs w:val="16"/>
        </w:rPr>
        <w:t xml:space="preserve"> </w:t>
      </w:r>
      <w:r>
        <w:rPr>
          <w:rFonts w:ascii="ArialMT" w:eastAsiaTheme="minorHAnsi" w:hAnsi="ArialMT" w:cs="ArialMT"/>
          <w:sz w:val="16"/>
          <w:szCs w:val="16"/>
        </w:rPr>
        <w:t>tested range of implant designs under study using 3D Finite Element Study.</w:t>
      </w:r>
    </w:p>
    <w:p w14:paraId="0BD64A0E" w14:textId="36F29915" w:rsidR="005C67AD" w:rsidRDefault="005C67AD" w:rsidP="005C67AD">
      <w:pPr>
        <w:widowControl/>
        <w:autoSpaceDE w:val="0"/>
        <w:autoSpaceDN w:val="0"/>
        <w:adjustRightInd w:val="0"/>
        <w:jc w:val="both"/>
        <w:rPr>
          <w:rFonts w:ascii="ArialMT" w:eastAsiaTheme="minorHAnsi" w:hAnsi="ArialMT" w:cs="ArialMT"/>
          <w:sz w:val="16"/>
          <w:szCs w:val="16"/>
        </w:rPr>
      </w:pPr>
      <w:r>
        <w:rPr>
          <w:rFonts w:ascii="Arial-ItalicMT" w:eastAsiaTheme="minorHAnsi" w:hAnsi="Arial-ItalicMT" w:cs="Arial-ItalicMT"/>
          <w:i/>
          <w:iCs/>
          <w:sz w:val="16"/>
          <w:szCs w:val="16"/>
        </w:rPr>
        <w:t>Materials and Methods</w:t>
      </w:r>
      <w:r>
        <w:rPr>
          <w:rFonts w:ascii="ArialMT" w:eastAsiaTheme="minorHAnsi" w:hAnsi="ArialMT" w:cs="ArialMT"/>
          <w:sz w:val="16"/>
          <w:szCs w:val="16"/>
        </w:rPr>
        <w:t>: A modified Reverse Buttress dental implant in two models (TiG4 and TiG5 models, a range of</w:t>
      </w:r>
      <w:r>
        <w:rPr>
          <w:rFonts w:ascii="ArialMT" w:eastAsiaTheme="minorHAnsi" w:hAnsi="ArialMT" w:cs="ArialMT"/>
          <w:sz w:val="16"/>
          <w:szCs w:val="16"/>
        </w:rPr>
        <w:t xml:space="preserve"> </w:t>
      </w:r>
      <w:r>
        <w:rPr>
          <w:rFonts w:ascii="ArialMT" w:eastAsiaTheme="minorHAnsi" w:hAnsi="ArialMT" w:cs="ArialMT"/>
          <w:sz w:val="16"/>
          <w:szCs w:val="16"/>
        </w:rPr>
        <w:t xml:space="preserve">different implant dimensions (3/13, 3.5/11, 4.11, 4/9, 4.5/9, 4.5/7, 5/9, 5/7, 5.5/9, 5.5/7 mm) were </w:t>
      </w:r>
      <w:proofErr w:type="spellStart"/>
      <w:r>
        <w:rPr>
          <w:rFonts w:ascii="ArialMT" w:eastAsiaTheme="minorHAnsi" w:hAnsi="ArialMT" w:cs="ArialMT"/>
          <w:sz w:val="16"/>
          <w:szCs w:val="16"/>
        </w:rPr>
        <w:t>analysed</w:t>
      </w:r>
      <w:proofErr w:type="spellEnd"/>
      <w:r>
        <w:rPr>
          <w:rFonts w:ascii="ArialMT" w:eastAsiaTheme="minorHAnsi" w:hAnsi="ArialMT" w:cs="ArialMT"/>
          <w:sz w:val="16"/>
          <w:szCs w:val="16"/>
        </w:rPr>
        <w:t xml:space="preserve"> for stress</w:t>
      </w:r>
      <w:r>
        <w:rPr>
          <w:rFonts w:ascii="ArialMT" w:eastAsiaTheme="minorHAnsi" w:hAnsi="ArialMT" w:cs="ArialMT"/>
          <w:sz w:val="16"/>
          <w:szCs w:val="16"/>
        </w:rPr>
        <w:t xml:space="preserve"> </w:t>
      </w:r>
      <w:r>
        <w:rPr>
          <w:rFonts w:ascii="ArialMT" w:eastAsiaTheme="minorHAnsi" w:hAnsi="ArialMT" w:cs="ArialMT"/>
          <w:sz w:val="16"/>
          <w:szCs w:val="16"/>
        </w:rPr>
        <w:t>distribution over the surrounding cortical and cancellous bones. A three-dimensional Finite Element Analysis has been</w:t>
      </w:r>
      <w:r>
        <w:rPr>
          <w:rFonts w:ascii="ArialMT" w:eastAsiaTheme="minorHAnsi" w:hAnsi="ArialMT" w:cs="ArialMT"/>
          <w:sz w:val="16"/>
          <w:szCs w:val="16"/>
        </w:rPr>
        <w:t xml:space="preserve"> </w:t>
      </w:r>
      <w:r>
        <w:rPr>
          <w:rFonts w:ascii="ArialMT" w:eastAsiaTheme="minorHAnsi" w:hAnsi="ArialMT" w:cs="ArialMT"/>
          <w:sz w:val="16"/>
          <w:szCs w:val="16"/>
        </w:rPr>
        <w:t>carried out in both normal (70 N vertical load) and overload (500 N, 25°) conditions.</w:t>
      </w:r>
    </w:p>
    <w:p w14:paraId="1B847C32" w14:textId="4A20E51B" w:rsidR="005C67AD" w:rsidRDefault="005C67AD" w:rsidP="005C67AD">
      <w:pPr>
        <w:widowControl/>
        <w:autoSpaceDE w:val="0"/>
        <w:autoSpaceDN w:val="0"/>
        <w:adjustRightInd w:val="0"/>
        <w:jc w:val="both"/>
        <w:rPr>
          <w:rFonts w:ascii="ArialMT" w:eastAsiaTheme="minorHAnsi" w:hAnsi="ArialMT" w:cs="ArialMT"/>
          <w:sz w:val="16"/>
          <w:szCs w:val="16"/>
        </w:rPr>
      </w:pPr>
      <w:r>
        <w:rPr>
          <w:rFonts w:ascii="Arial-ItalicMT" w:eastAsiaTheme="minorHAnsi" w:hAnsi="Arial-ItalicMT" w:cs="Arial-ItalicMT"/>
          <w:i/>
          <w:iCs/>
          <w:sz w:val="16"/>
          <w:szCs w:val="16"/>
        </w:rPr>
        <w:t>Results</w:t>
      </w:r>
      <w:r>
        <w:rPr>
          <w:rFonts w:ascii="ArialMT" w:eastAsiaTheme="minorHAnsi" w:hAnsi="ArialMT" w:cs="ArialMT"/>
          <w:sz w:val="16"/>
          <w:szCs w:val="16"/>
        </w:rPr>
        <w:t>: in all implant dimensions, maximum Von Mises stress was less than average cortical and cancellous bone</w:t>
      </w:r>
      <w:r>
        <w:rPr>
          <w:rFonts w:ascii="ArialMT" w:eastAsiaTheme="minorHAnsi" w:hAnsi="ArialMT" w:cs="ArialMT"/>
          <w:sz w:val="16"/>
          <w:szCs w:val="16"/>
        </w:rPr>
        <w:t xml:space="preserve"> </w:t>
      </w:r>
      <w:r>
        <w:rPr>
          <w:rFonts w:ascii="ArialMT" w:eastAsiaTheme="minorHAnsi" w:hAnsi="ArialMT" w:cs="ArialMT"/>
          <w:sz w:val="16"/>
          <w:szCs w:val="16"/>
        </w:rPr>
        <w:t>elastic modulus. Mann Whitney U Test did not show a statistically significant difference between maximum Von Mises</w:t>
      </w:r>
      <w:r>
        <w:rPr>
          <w:rFonts w:ascii="ArialMT" w:eastAsiaTheme="minorHAnsi" w:hAnsi="ArialMT" w:cs="ArialMT"/>
          <w:sz w:val="16"/>
          <w:szCs w:val="16"/>
        </w:rPr>
        <w:t xml:space="preserve"> </w:t>
      </w:r>
      <w:r>
        <w:rPr>
          <w:rFonts w:ascii="ArialMT" w:eastAsiaTheme="minorHAnsi" w:hAnsi="ArialMT" w:cs="ArialMT"/>
          <w:sz w:val="16"/>
          <w:szCs w:val="16"/>
        </w:rPr>
        <w:t>stress in both implant models over both cortical and</w:t>
      </w:r>
      <w:r>
        <w:rPr>
          <w:rFonts w:ascii="ArialMT" w:eastAsiaTheme="minorHAnsi" w:hAnsi="ArialMT" w:cs="ArialMT"/>
          <w:sz w:val="16"/>
          <w:szCs w:val="16"/>
        </w:rPr>
        <w:t xml:space="preserve"> </w:t>
      </w:r>
      <w:r>
        <w:rPr>
          <w:rFonts w:ascii="ArialMT" w:eastAsiaTheme="minorHAnsi" w:hAnsi="ArialMT" w:cs="ArialMT"/>
          <w:sz w:val="16"/>
          <w:szCs w:val="16"/>
        </w:rPr>
        <w:t>cancellous bones in normal and over-occlusal loads (</w:t>
      </w:r>
      <w:r>
        <w:rPr>
          <w:rFonts w:ascii="Arial-ItalicMT" w:eastAsiaTheme="minorHAnsi" w:hAnsi="Arial-ItalicMT" w:cs="Arial-ItalicMT"/>
          <w:i/>
          <w:iCs/>
          <w:sz w:val="16"/>
          <w:szCs w:val="16"/>
        </w:rPr>
        <w:t>p</w:t>
      </w:r>
      <w:r>
        <w:rPr>
          <w:rFonts w:ascii="ArialMT" w:eastAsiaTheme="minorHAnsi" w:hAnsi="ArialMT" w:cs="ArialMT"/>
          <w:sz w:val="16"/>
          <w:szCs w:val="16"/>
        </w:rPr>
        <w:t>&gt;0.05).</w:t>
      </w:r>
    </w:p>
    <w:p w14:paraId="66156909" w14:textId="5B9902A1" w:rsidR="00AE3E37" w:rsidRPr="005C67AD" w:rsidRDefault="005C67AD" w:rsidP="005C67AD">
      <w:pPr>
        <w:widowControl/>
        <w:autoSpaceDE w:val="0"/>
        <w:autoSpaceDN w:val="0"/>
        <w:adjustRightInd w:val="0"/>
        <w:jc w:val="both"/>
        <w:rPr>
          <w:rFonts w:ascii="ArialMT" w:eastAsiaTheme="minorHAnsi" w:hAnsi="ArialMT" w:cs="ArialMT"/>
          <w:sz w:val="16"/>
          <w:szCs w:val="16"/>
        </w:rPr>
      </w:pPr>
      <w:r>
        <w:rPr>
          <w:rFonts w:ascii="Arial-ItalicMT" w:eastAsiaTheme="minorHAnsi" w:hAnsi="Arial-ItalicMT" w:cs="Arial-ItalicMT"/>
          <w:i/>
          <w:iCs/>
          <w:sz w:val="16"/>
          <w:szCs w:val="16"/>
        </w:rPr>
        <w:t>Conclusion</w:t>
      </w:r>
      <w:r>
        <w:rPr>
          <w:rFonts w:ascii="ArialMT" w:eastAsiaTheme="minorHAnsi" w:hAnsi="ArialMT" w:cs="ArialMT"/>
          <w:sz w:val="16"/>
          <w:szCs w:val="16"/>
        </w:rPr>
        <w:t>: All implant dimensions, showed far fewer stress levels over both cortical and cancellous bones. However, it</w:t>
      </w:r>
      <w:r>
        <w:rPr>
          <w:rFonts w:ascii="ArialMT" w:eastAsiaTheme="minorHAnsi" w:hAnsi="ArialMT" w:cs="ArialMT"/>
          <w:sz w:val="16"/>
          <w:szCs w:val="16"/>
        </w:rPr>
        <w:t xml:space="preserve"> </w:t>
      </w:r>
      <w:r>
        <w:rPr>
          <w:rFonts w:ascii="ArialMT" w:eastAsiaTheme="minorHAnsi" w:hAnsi="ArialMT" w:cs="ArialMT"/>
          <w:sz w:val="16"/>
          <w:szCs w:val="16"/>
        </w:rPr>
        <w:t>would be advisable to eliminate the 3/13 mm implant dimension, especially, if the TiG5 model is to be considered, and</w:t>
      </w:r>
      <w:r>
        <w:rPr>
          <w:rFonts w:ascii="ArialMT" w:eastAsiaTheme="minorHAnsi" w:hAnsi="ArialMT" w:cs="ArialMT"/>
          <w:sz w:val="16"/>
          <w:szCs w:val="16"/>
        </w:rPr>
        <w:t xml:space="preserve"> </w:t>
      </w:r>
      <w:r>
        <w:rPr>
          <w:rFonts w:ascii="ArialMT" w:eastAsiaTheme="minorHAnsi" w:hAnsi="ArialMT" w:cs="ArialMT"/>
          <w:sz w:val="16"/>
          <w:szCs w:val="16"/>
        </w:rPr>
        <w:t>5.5/7 mm implant dimension if TiG4 model is to be considered.</w:t>
      </w:r>
      <w:r w:rsidR="00A9710C">
        <w:br w:type="column"/>
      </w:r>
      <w:r w:rsidR="00A9710C">
        <w:rPr>
          <w:color w:val="BF5A14"/>
        </w:rPr>
        <w:t>Image</w:t>
      </w:r>
    </w:p>
    <w:p w14:paraId="5E6B66B8" w14:textId="378F82A5" w:rsidR="00AE3E37" w:rsidRDefault="00CB30B8">
      <w:pPr>
        <w:pStyle w:val="BodyText"/>
        <w:spacing w:before="2"/>
        <w:rPr>
          <w:rFonts w:ascii="Arial"/>
          <w:b/>
          <w:sz w:val="16"/>
        </w:rPr>
      </w:pPr>
      <w:r>
        <w:rPr>
          <w:noProof/>
        </w:rPr>
        <w:drawing>
          <wp:inline distT="0" distB="0" distL="0" distR="0" wp14:anchorId="75607FF8" wp14:editId="2F6893C5">
            <wp:extent cx="3165475" cy="12484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248410"/>
                    </a:xfrm>
                    <a:prstGeom prst="rect">
                      <a:avLst/>
                    </a:prstGeom>
                    <a:noFill/>
                    <a:ln>
                      <a:noFill/>
                    </a:ln>
                  </pic:spPr>
                </pic:pic>
              </a:graphicData>
            </a:graphic>
          </wp:inline>
        </w:drawing>
      </w:r>
    </w:p>
    <w:p w14:paraId="595082A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5EE98A7" w14:textId="762CD75D" w:rsidR="00CB30B8" w:rsidRPr="00CB30B8" w:rsidRDefault="00CB30B8" w:rsidP="00CB30B8">
      <w:pPr>
        <w:widowControl/>
        <w:numPr>
          <w:ilvl w:val="0"/>
          <w:numId w:val="4"/>
        </w:numPr>
        <w:autoSpaceDE w:val="0"/>
        <w:autoSpaceDN w:val="0"/>
        <w:adjustRightInd w:val="0"/>
        <w:rPr>
          <w:rFonts w:ascii="Arial" w:hAnsi="Arial" w:cs="Arial"/>
          <w:sz w:val="18"/>
          <w:szCs w:val="18"/>
          <w:lang w:val="en-GB" w:eastAsia="en-GB"/>
        </w:rPr>
      </w:pPr>
      <w:r w:rsidRPr="00CB30B8">
        <w:rPr>
          <w:rFonts w:ascii="Arial" w:hAnsi="Arial" w:cs="Arial"/>
          <w:sz w:val="18"/>
          <w:szCs w:val="18"/>
          <w:lang w:val="en-GB"/>
        </w:rPr>
        <w:t xml:space="preserve">Is my eyesight Gone, Faaiz Alhamdani, Ian Corbett, Justin Durham, JODR, Vol.1 Issue </w:t>
      </w:r>
      <w:proofErr w:type="gramStart"/>
      <w:r w:rsidRPr="00CB30B8">
        <w:rPr>
          <w:rFonts w:ascii="Arial" w:hAnsi="Arial" w:cs="Arial"/>
          <w:sz w:val="18"/>
          <w:szCs w:val="18"/>
          <w:lang w:val="en-GB"/>
        </w:rPr>
        <w:t>1.</w:t>
      </w:r>
      <w:proofErr w:type="gramEnd"/>
      <w:r w:rsidRPr="00CB30B8">
        <w:rPr>
          <w:rFonts w:ascii="Arial" w:hAnsi="Arial" w:cs="Arial"/>
          <w:sz w:val="18"/>
          <w:szCs w:val="18"/>
          <w:lang w:val="en-GB"/>
        </w:rPr>
        <w:t xml:space="preserve"> 2016</w:t>
      </w:r>
    </w:p>
    <w:p w14:paraId="0D631B6F" w14:textId="77777777" w:rsidR="00CB30B8" w:rsidRPr="00CB30B8" w:rsidRDefault="00CB30B8" w:rsidP="00CB30B8">
      <w:pPr>
        <w:widowControl/>
        <w:numPr>
          <w:ilvl w:val="0"/>
          <w:numId w:val="4"/>
        </w:numPr>
        <w:autoSpaceDE w:val="0"/>
        <w:autoSpaceDN w:val="0"/>
        <w:adjustRightInd w:val="0"/>
        <w:rPr>
          <w:rFonts w:ascii="Arial" w:hAnsi="Arial" w:cs="Arial"/>
          <w:sz w:val="18"/>
          <w:szCs w:val="18"/>
          <w:lang w:val="en-GB"/>
        </w:rPr>
      </w:pPr>
      <w:r w:rsidRPr="00CB30B8">
        <w:rPr>
          <w:rFonts w:ascii="Arial" w:hAnsi="Arial" w:cs="Arial"/>
          <w:sz w:val="18"/>
          <w:szCs w:val="18"/>
          <w:lang w:val="en-GB"/>
        </w:rPr>
        <w:t xml:space="preserve">Modified approach for lower third molar surgery, short based patient outcome </w:t>
      </w:r>
      <w:proofErr w:type="spellStart"/>
      <w:r w:rsidRPr="00CB30B8">
        <w:rPr>
          <w:rFonts w:ascii="Arial" w:hAnsi="Arial" w:cs="Arial"/>
          <w:sz w:val="18"/>
          <w:szCs w:val="18"/>
          <w:lang w:val="en-GB"/>
        </w:rPr>
        <w:t>study.SDJ</w:t>
      </w:r>
      <w:proofErr w:type="spellEnd"/>
      <w:r w:rsidRPr="00CB30B8">
        <w:rPr>
          <w:rFonts w:ascii="Arial" w:hAnsi="Arial" w:cs="Arial"/>
          <w:sz w:val="18"/>
          <w:szCs w:val="18"/>
          <w:lang w:val="en-GB"/>
        </w:rPr>
        <w:t xml:space="preserve"> 2015</w:t>
      </w:r>
    </w:p>
    <w:p w14:paraId="2E201FDB" w14:textId="77777777" w:rsidR="00CB30B8" w:rsidRPr="00CB30B8" w:rsidRDefault="00CB30B8" w:rsidP="00CB30B8">
      <w:pPr>
        <w:widowControl/>
        <w:numPr>
          <w:ilvl w:val="0"/>
          <w:numId w:val="4"/>
        </w:numPr>
        <w:autoSpaceDE w:val="0"/>
        <w:autoSpaceDN w:val="0"/>
        <w:adjustRightInd w:val="0"/>
        <w:rPr>
          <w:rFonts w:ascii="Arial" w:hAnsi="Arial" w:cs="Arial"/>
          <w:sz w:val="18"/>
          <w:szCs w:val="18"/>
          <w:lang w:val="en-GB"/>
        </w:rPr>
      </w:pPr>
      <w:r w:rsidRPr="00CB30B8">
        <w:rPr>
          <w:rFonts w:ascii="Arial" w:hAnsi="Arial" w:cs="Arial"/>
          <w:sz w:val="18"/>
          <w:szCs w:val="18"/>
          <w:lang w:val="en-GB"/>
        </w:rPr>
        <w:t xml:space="preserve">An Introduction to Qualitative Research Methodology, Artistic Approach, </w:t>
      </w:r>
      <w:r w:rsidRPr="00CB30B8">
        <w:rPr>
          <w:rFonts w:ascii="Arial" w:hAnsi="Arial" w:cs="Arial"/>
          <w:sz w:val="18"/>
          <w:szCs w:val="18"/>
        </w:rPr>
        <w:t>International Journal of Development Research Vol. 06, Issue, 10, pp.9774-9776, October, 2016</w:t>
      </w:r>
    </w:p>
    <w:p w14:paraId="2172E6AF" w14:textId="77777777" w:rsidR="00CB30B8" w:rsidRPr="00CB30B8" w:rsidRDefault="00CB30B8" w:rsidP="00CB30B8">
      <w:pPr>
        <w:widowControl/>
        <w:numPr>
          <w:ilvl w:val="0"/>
          <w:numId w:val="4"/>
        </w:numPr>
        <w:autoSpaceDE w:val="0"/>
        <w:autoSpaceDN w:val="0"/>
        <w:adjustRightInd w:val="0"/>
        <w:rPr>
          <w:rFonts w:ascii="Arial" w:hAnsi="Arial" w:cs="Arial"/>
          <w:sz w:val="18"/>
          <w:szCs w:val="18"/>
          <w:lang w:val="en-GB"/>
        </w:rPr>
      </w:pPr>
      <w:r w:rsidRPr="00CB30B8">
        <w:rPr>
          <w:rFonts w:ascii="Arial" w:hAnsi="Arial" w:cs="Arial"/>
          <w:sz w:val="18"/>
          <w:szCs w:val="18"/>
        </w:rPr>
        <w:t>An introduction to qualitative research data analysis artistic approach</w:t>
      </w:r>
      <w:r w:rsidRPr="00CB30B8">
        <w:rPr>
          <w:rFonts w:ascii="Arial" w:hAnsi="Arial" w:cs="Arial"/>
          <w:sz w:val="18"/>
          <w:szCs w:val="18"/>
          <w:lang w:val="en-GB"/>
        </w:rPr>
        <w:t xml:space="preserve">, </w:t>
      </w:r>
      <w:r w:rsidRPr="00CB30B8">
        <w:rPr>
          <w:rFonts w:ascii="Arial" w:hAnsi="Arial" w:cs="Arial"/>
          <w:sz w:val="18"/>
          <w:szCs w:val="18"/>
        </w:rPr>
        <w:t>International Journal of Development Research Vol. 06, Issue, 12, pp.10616-10619, December, 2016</w:t>
      </w:r>
    </w:p>
    <w:p w14:paraId="50087E0C" w14:textId="77777777" w:rsidR="00CB30B8" w:rsidRPr="00CB30B8" w:rsidRDefault="00CB30B8" w:rsidP="00CB30B8">
      <w:pPr>
        <w:widowControl/>
        <w:numPr>
          <w:ilvl w:val="0"/>
          <w:numId w:val="4"/>
        </w:numPr>
        <w:autoSpaceDE w:val="0"/>
        <w:autoSpaceDN w:val="0"/>
        <w:adjustRightInd w:val="0"/>
        <w:rPr>
          <w:rStyle w:val="fontstyle01"/>
          <w:rFonts w:ascii="Arial" w:hAnsi="Arial" w:cs="Arial"/>
          <w:b w:val="0"/>
          <w:bCs w:val="0"/>
          <w:sz w:val="18"/>
          <w:szCs w:val="18"/>
          <w:lang w:val="en-GB"/>
        </w:rPr>
      </w:pPr>
      <w:r w:rsidRPr="00CB30B8">
        <w:rPr>
          <w:rStyle w:val="fontstyle01"/>
          <w:rFonts w:ascii="Arial" w:hAnsi="Arial" w:cs="Arial"/>
          <w:b w:val="0"/>
          <w:bCs w:val="0"/>
          <w:sz w:val="18"/>
          <w:szCs w:val="18"/>
        </w:rPr>
        <w:t>Dental Students› Views of Their Clinical Cognitive</w:t>
      </w:r>
      <w:r w:rsidRPr="00CB30B8">
        <w:rPr>
          <w:rFonts w:ascii="Arial" w:hAnsi="Arial" w:cs="Arial"/>
          <w:color w:val="000000"/>
          <w:sz w:val="18"/>
          <w:szCs w:val="18"/>
        </w:rPr>
        <w:t xml:space="preserve"> </w:t>
      </w:r>
      <w:r w:rsidRPr="00CB30B8">
        <w:rPr>
          <w:rStyle w:val="fontstyle01"/>
          <w:rFonts w:ascii="Arial" w:hAnsi="Arial" w:cs="Arial"/>
          <w:b w:val="0"/>
          <w:bCs w:val="0"/>
          <w:sz w:val="18"/>
          <w:szCs w:val="18"/>
        </w:rPr>
        <w:t xml:space="preserve">Skills. A Qualitative study, Faaiz Alhamdani, JODR, Vol. </w:t>
      </w:r>
      <w:proofErr w:type="gramStart"/>
      <w:r w:rsidRPr="00CB30B8">
        <w:rPr>
          <w:rStyle w:val="fontstyle01"/>
          <w:rFonts w:ascii="Arial" w:hAnsi="Arial" w:cs="Arial"/>
          <w:b w:val="0"/>
          <w:bCs w:val="0"/>
          <w:sz w:val="18"/>
          <w:szCs w:val="18"/>
        </w:rPr>
        <w:t>4,  Issue</w:t>
      </w:r>
      <w:proofErr w:type="gramEnd"/>
      <w:r w:rsidRPr="00CB30B8">
        <w:rPr>
          <w:rStyle w:val="fontstyle01"/>
          <w:rFonts w:ascii="Arial" w:hAnsi="Arial" w:cs="Arial"/>
          <w:b w:val="0"/>
          <w:bCs w:val="0"/>
          <w:sz w:val="18"/>
          <w:szCs w:val="18"/>
        </w:rPr>
        <w:t xml:space="preserve"> 1, 2017)</w:t>
      </w:r>
    </w:p>
    <w:p w14:paraId="121D530B" w14:textId="77777777" w:rsidR="00CB30B8" w:rsidRPr="00CB30B8" w:rsidRDefault="00CB30B8" w:rsidP="00CB30B8">
      <w:pPr>
        <w:widowControl/>
        <w:numPr>
          <w:ilvl w:val="0"/>
          <w:numId w:val="4"/>
        </w:numPr>
        <w:autoSpaceDE w:val="0"/>
        <w:autoSpaceDN w:val="0"/>
        <w:adjustRightInd w:val="0"/>
        <w:rPr>
          <w:rFonts w:ascii="Arial" w:hAnsi="Arial" w:cs="Arial"/>
          <w:sz w:val="18"/>
          <w:szCs w:val="18"/>
          <w:lang w:val="en-GB"/>
        </w:rPr>
      </w:pPr>
      <w:r w:rsidRPr="00CB30B8">
        <w:rPr>
          <w:rFonts w:ascii="Arial" w:hAnsi="Arial" w:cs="Arial"/>
          <w:sz w:val="18"/>
          <w:szCs w:val="18"/>
        </w:rPr>
        <w:t xml:space="preserve">Factors influencing Management Outcome of </w:t>
      </w:r>
      <w:proofErr w:type="spellStart"/>
      <w:r w:rsidRPr="00CB30B8">
        <w:rPr>
          <w:rFonts w:ascii="Arial" w:hAnsi="Arial" w:cs="Arial"/>
          <w:sz w:val="18"/>
          <w:szCs w:val="18"/>
        </w:rPr>
        <w:t>Hospitalised</w:t>
      </w:r>
      <w:proofErr w:type="spellEnd"/>
      <w:r w:rsidRPr="00CB30B8">
        <w:rPr>
          <w:rFonts w:ascii="Arial" w:hAnsi="Arial" w:cs="Arial"/>
          <w:sz w:val="18"/>
          <w:szCs w:val="18"/>
        </w:rPr>
        <w:t xml:space="preserve"> Patients with Odontogenic Infection, </w:t>
      </w:r>
      <w:proofErr w:type="spellStart"/>
      <w:r w:rsidRPr="00CB30B8">
        <w:rPr>
          <w:rFonts w:ascii="Arial" w:hAnsi="Arial" w:cs="Arial"/>
          <w:sz w:val="18"/>
          <w:szCs w:val="18"/>
        </w:rPr>
        <w:t>Suha</w:t>
      </w:r>
      <w:proofErr w:type="spellEnd"/>
      <w:r w:rsidRPr="00CB30B8">
        <w:rPr>
          <w:rFonts w:ascii="Arial" w:hAnsi="Arial" w:cs="Arial"/>
          <w:sz w:val="18"/>
          <w:szCs w:val="18"/>
        </w:rPr>
        <w:t xml:space="preserve"> N </w:t>
      </w:r>
      <w:proofErr w:type="spellStart"/>
      <w:r w:rsidRPr="00CB30B8">
        <w:rPr>
          <w:rFonts w:ascii="Arial" w:hAnsi="Arial" w:cs="Arial"/>
          <w:sz w:val="18"/>
          <w:szCs w:val="18"/>
        </w:rPr>
        <w:t>Aloosi</w:t>
      </w:r>
      <w:proofErr w:type="spellEnd"/>
      <w:r w:rsidRPr="00CB30B8">
        <w:rPr>
          <w:rFonts w:ascii="Arial" w:hAnsi="Arial" w:cs="Arial"/>
          <w:sz w:val="18"/>
          <w:szCs w:val="18"/>
        </w:rPr>
        <w:t xml:space="preserve"> FICMS, </w:t>
      </w:r>
      <w:proofErr w:type="spellStart"/>
      <w:r w:rsidRPr="00CB30B8">
        <w:rPr>
          <w:rFonts w:ascii="Arial" w:hAnsi="Arial" w:cs="Arial"/>
          <w:sz w:val="18"/>
          <w:szCs w:val="18"/>
        </w:rPr>
        <w:t>Hydar</w:t>
      </w:r>
      <w:proofErr w:type="spellEnd"/>
      <w:r w:rsidRPr="00CB30B8">
        <w:rPr>
          <w:rFonts w:ascii="Arial" w:hAnsi="Arial" w:cs="Arial"/>
          <w:sz w:val="18"/>
          <w:szCs w:val="18"/>
        </w:rPr>
        <w:t xml:space="preserve"> Abdullah, HDS and Faaiz Alhamdani, PhD, JODR, Volume 4, Issue 2, 2017</w:t>
      </w:r>
    </w:p>
    <w:p w14:paraId="652F24C3" w14:textId="77777777" w:rsidR="00CB30B8" w:rsidRPr="00CB30B8" w:rsidRDefault="00CB30B8" w:rsidP="00CB30B8">
      <w:pPr>
        <w:widowControl/>
        <w:numPr>
          <w:ilvl w:val="0"/>
          <w:numId w:val="4"/>
        </w:numPr>
        <w:autoSpaceDE w:val="0"/>
        <w:autoSpaceDN w:val="0"/>
        <w:adjustRightInd w:val="0"/>
        <w:rPr>
          <w:rFonts w:ascii="Arial" w:hAnsi="Arial" w:cs="Arial"/>
          <w:sz w:val="18"/>
          <w:szCs w:val="18"/>
          <w:lang w:val="en-GB"/>
        </w:rPr>
      </w:pPr>
      <w:r w:rsidRPr="00CB30B8">
        <w:rPr>
          <w:rFonts w:ascii="Arial" w:hAnsi="Arial" w:cs="Arial"/>
          <w:sz w:val="18"/>
          <w:szCs w:val="18"/>
        </w:rPr>
        <w:t>Simultaneous Indirect Sinus Lift and Implant Insertion- Case Report for Extreme Bone Resorption, Faaiz Alhamdani, PhD, JODR, 2018, Vol.5, Issue 2</w:t>
      </w:r>
    </w:p>
    <w:p w14:paraId="6C3E29BF" w14:textId="77777777" w:rsidR="00AE3E37" w:rsidRPr="00CB30B8" w:rsidRDefault="008756E6">
      <w:pPr>
        <w:spacing w:line="200" w:lineRule="exact"/>
        <w:jc w:val="both"/>
        <w:rPr>
          <w:rFonts w:ascii="Calibri" w:hAnsi="Calibri"/>
          <w:sz w:val="20"/>
          <w:szCs w:val="20"/>
        </w:rPr>
        <w:sectPr w:rsidR="00AE3E37" w:rsidRPr="00CB30B8">
          <w:type w:val="continuous"/>
          <w:pgSz w:w="11910" w:h="16840"/>
          <w:pgMar w:top="1740" w:right="600" w:bottom="840" w:left="620" w:header="720" w:footer="720" w:gutter="0"/>
          <w:cols w:num="2" w:space="720" w:equalWidth="0">
            <w:col w:w="5214" w:space="138"/>
            <w:col w:w="5338"/>
          </w:cols>
        </w:sectPr>
      </w:pPr>
      <w:r w:rsidRPr="00CB30B8">
        <w:rPr>
          <w:rFonts w:ascii="Calibri" w:hAnsi="Calibri"/>
          <w:sz w:val="20"/>
          <w:szCs w:val="20"/>
        </w:rPr>
        <w:t xml:space="preserve">   </w:t>
      </w:r>
    </w:p>
    <w:p w14:paraId="27D47801" w14:textId="77777777" w:rsidR="00AE3E37" w:rsidRDefault="00AE3E37">
      <w:pPr>
        <w:pStyle w:val="BodyText"/>
        <w:rPr>
          <w:rFonts w:ascii="Calibri"/>
          <w:sz w:val="20"/>
        </w:rPr>
      </w:pPr>
    </w:p>
    <w:p w14:paraId="1D0C7C5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22A5ECA" wp14:editId="7E832E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C104A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30A84AD" w14:textId="2D2E84D3" w:rsidR="00AE3E37" w:rsidRDefault="008756E6" w:rsidP="00404E5B">
      <w:pPr>
        <w:spacing w:before="92"/>
        <w:ind w:right="4234"/>
        <w:rPr>
          <w:rFonts w:ascii="Arial"/>
        </w:rPr>
      </w:pPr>
      <w:r>
        <w:rPr>
          <w:noProof/>
        </w:rPr>
        <w:t xml:space="preserve">              </w:t>
      </w:r>
      <w:r w:rsidR="00CB30B8">
        <w:rPr>
          <w:noProof/>
        </w:rPr>
        <w:drawing>
          <wp:inline distT="0" distB="0" distL="0" distR="0" wp14:anchorId="5BB56F2E" wp14:editId="32D50813">
            <wp:extent cx="491379" cy="624840"/>
            <wp:effectExtent l="0" t="0" r="444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359" cy="66550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4DFE38F" w14:textId="77405B62" w:rsidR="00CB30B8" w:rsidRPr="00CB30B8" w:rsidRDefault="00CB30B8" w:rsidP="00CB30B8">
      <w:pPr>
        <w:pStyle w:val="Heading2"/>
        <w:spacing w:line="276" w:lineRule="auto"/>
        <w:rPr>
          <w:rFonts w:asciiTheme="minorBidi" w:hAnsiTheme="minorBidi" w:cstheme="minorBidi"/>
          <w:b/>
          <w:bCs/>
          <w:i/>
          <w:iCs/>
          <w:sz w:val="18"/>
          <w:szCs w:val="18"/>
        </w:rPr>
      </w:pPr>
      <w:r w:rsidRPr="00CB30B8">
        <w:rPr>
          <w:rFonts w:asciiTheme="minorBidi" w:hAnsiTheme="minorBidi" w:cstheme="minorBidi"/>
          <w:sz w:val="18"/>
          <w:szCs w:val="18"/>
        </w:rPr>
        <w:t>Dr. Faaiz Alhamdani finished his PhD at Newcastle University, the UK in 2012. Part of his PhD project was a qualitative study on patients’ experiences with blow-out fractures of the orbit. Since then he became interested in qualitative research methodologies. Besides his interest in qualitative research, he is also interested in educational research and quality of life research, particularly in Oral and Maxillofacial Surgery. He works now as Vice Dean, College of Dentistry, Ibn Sina University for Medical and Pharmaceutical Sciences, Baghdad-Iraq</w:t>
      </w:r>
    </w:p>
    <w:p w14:paraId="6C29AEAD" w14:textId="77777777" w:rsidR="00CB30B8" w:rsidRPr="00CB30B8" w:rsidRDefault="00CB30B8" w:rsidP="00CB30B8">
      <w:pPr>
        <w:ind w:left="100"/>
        <w:rPr>
          <w:rFonts w:asciiTheme="minorBidi" w:hAnsiTheme="minorBidi"/>
          <w:sz w:val="18"/>
          <w:szCs w:val="18"/>
          <w:lang w:bidi="hi-IN"/>
        </w:rPr>
      </w:pPr>
      <w:r w:rsidRPr="00CB30B8">
        <w:rPr>
          <w:rFonts w:asciiTheme="minorBidi" w:hAnsiTheme="minorBidi"/>
          <w:sz w:val="18"/>
          <w:szCs w:val="18"/>
          <w:lang w:bidi="hi-IN"/>
        </w:rPr>
        <w:t>He joined IADR 2010. From 2010-2016 he worked as Iraqi Division Secretary. In August 2016 he was elected as President of the Iraqi Division. From 2012 he co-organized most of Iraqi Division (IAOR) events and in August 2017 he was the main organizer and President of the 4</w:t>
      </w:r>
      <w:r w:rsidRPr="00CB30B8">
        <w:rPr>
          <w:rFonts w:asciiTheme="minorBidi" w:hAnsiTheme="minorBidi"/>
          <w:sz w:val="18"/>
          <w:szCs w:val="18"/>
          <w:vertAlign w:val="superscript"/>
          <w:lang w:bidi="hi-IN"/>
        </w:rPr>
        <w:t>th</w:t>
      </w:r>
      <w:r w:rsidRPr="00CB30B8">
        <w:rPr>
          <w:rFonts w:asciiTheme="minorBidi" w:hAnsiTheme="minorBidi"/>
          <w:sz w:val="18"/>
          <w:szCs w:val="18"/>
          <w:lang w:bidi="hi-IN"/>
        </w:rPr>
        <w:t xml:space="preserve"> IAOR Scientific Conference in Antalya Turkey. He is also a member of The American Association for Advancement of Sciences. </w:t>
      </w:r>
    </w:p>
    <w:p w14:paraId="564C4930" w14:textId="51DA0C9D" w:rsidR="00AE3E37" w:rsidRDefault="00A9710C">
      <w:pPr>
        <w:spacing w:before="62"/>
        <w:ind w:left="4217" w:right="4235"/>
        <w:jc w:val="center"/>
        <w:rPr>
          <w:rFonts w:ascii="Arial"/>
          <w:sz w:val="14"/>
        </w:rPr>
      </w:pPr>
      <w:r>
        <w:rPr>
          <w:rFonts w:ascii="Arial"/>
          <w:sz w:val="14"/>
        </w:rPr>
        <w:t xml:space="preserve">Email: </w:t>
      </w:r>
      <w:r w:rsidR="00CB30B8">
        <w:rPr>
          <w:rFonts w:ascii="Arial"/>
          <w:sz w:val="14"/>
        </w:rPr>
        <w:t>faaiz68@gmail.com</w:t>
      </w:r>
    </w:p>
    <w:p w14:paraId="47A09EE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346F15D" wp14:editId="13A64E8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3546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41CA1A4" w14:textId="523A02E3" w:rsidR="00AE3E37" w:rsidRPr="00CB30B8" w:rsidRDefault="00A9710C" w:rsidP="00CB30B8">
      <w:pPr>
        <w:spacing w:before="39"/>
        <w:rPr>
          <w:rFonts w:ascii="Minion Pro"/>
          <w:b/>
          <w:sz w:val="20"/>
        </w:rPr>
        <w:sectPr w:rsidR="00AE3E37" w:rsidRPr="00CB30B8">
          <w:type w:val="continuous"/>
          <w:pgSz w:w="11910" w:h="16840"/>
          <w:pgMar w:top="1740" w:right="600" w:bottom="840" w:left="620" w:header="720" w:footer="720" w:gutter="0"/>
          <w:cols w:space="720"/>
        </w:sectPr>
      </w:pPr>
      <w:r w:rsidRPr="00B21A57">
        <w:rPr>
          <w:rFonts w:ascii="Minion Pro"/>
          <w:b/>
          <w:sz w:val="20"/>
        </w:rPr>
        <w:t>Notes/Comment</w:t>
      </w:r>
      <w:r w:rsidR="00CB30B8">
        <w:rPr>
          <w:rFonts w:ascii="Minion Pro"/>
          <w:b/>
          <w:sz w:val="20"/>
        </w:rPr>
        <w:t>s</w:t>
      </w:r>
    </w:p>
    <w:p w14:paraId="6971ED0A" w14:textId="77777777" w:rsidR="00AE3E37" w:rsidRDefault="00AE3E37" w:rsidP="00CB30B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2A004" w14:textId="77777777" w:rsidR="00C5108E" w:rsidRDefault="00C5108E">
      <w:r>
        <w:separator/>
      </w:r>
    </w:p>
  </w:endnote>
  <w:endnote w:type="continuationSeparator" w:id="0">
    <w:p w14:paraId="04C172D1" w14:textId="77777777" w:rsidR="00C5108E" w:rsidRDefault="00C51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Bold">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Italic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312E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F6CE054" wp14:editId="6EE6E96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6704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C8D792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E05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C86704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C8D792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B94198A" wp14:editId="6BA47AC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A88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01F74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4198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A6A88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01F74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08091B" wp14:editId="6F52036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F928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B4A8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8091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24F928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B4A8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350C25" w14:textId="77777777" w:rsidR="00C5108E" w:rsidRDefault="00C5108E">
      <w:r>
        <w:separator/>
      </w:r>
    </w:p>
  </w:footnote>
  <w:footnote w:type="continuationSeparator" w:id="0">
    <w:p w14:paraId="34F025B0" w14:textId="77777777" w:rsidR="00C5108E" w:rsidRDefault="00C51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4C6DD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CA42F38" wp14:editId="71B46DA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8B7BE" w14:textId="77777777" w:rsidR="00AE3E37" w:rsidRPr="005C67AD" w:rsidRDefault="00A9710C">
                          <w:pPr>
                            <w:spacing w:before="2" w:line="249" w:lineRule="auto"/>
                            <w:ind w:left="156" w:right="18" w:hanging="137"/>
                            <w:rPr>
                              <w:rFonts w:ascii="Arial"/>
                              <w:sz w:val="14"/>
                            </w:rPr>
                          </w:pPr>
                          <w:r w:rsidRPr="005C67AD">
                            <w:rPr>
                              <w:rFonts w:ascii="Arial"/>
                              <w:sz w:val="14"/>
                            </w:rPr>
                            <w:t xml:space="preserve">T </w:t>
                          </w:r>
                          <w:proofErr w:type="spellStart"/>
                          <w:r w:rsidRPr="005C67AD">
                            <w:rPr>
                              <w:rFonts w:ascii="Arial"/>
                              <w:sz w:val="14"/>
                            </w:rPr>
                            <w:t>Furuta</w:t>
                          </w:r>
                          <w:proofErr w:type="spellEnd"/>
                          <w:r w:rsidRPr="005C67AD">
                            <w:rPr>
                              <w:rFonts w:ascii="Arial"/>
                              <w:sz w:val="14"/>
                            </w:rPr>
                            <w:t xml:space="preserve"> et al., J Pai n Relief 2016, 5:3(Suppl) </w:t>
                          </w:r>
                          <w:hyperlink r:id="rId1">
                            <w:r w:rsidRPr="005C67AD">
                              <w:rPr>
                                <w:rFonts w:ascii="Arial"/>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A42F3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858B7BE" w14:textId="77777777" w:rsidR="00AE3E37" w:rsidRPr="005C67AD" w:rsidRDefault="00A9710C">
                    <w:pPr>
                      <w:spacing w:before="2" w:line="249" w:lineRule="auto"/>
                      <w:ind w:left="156" w:right="18" w:hanging="137"/>
                      <w:rPr>
                        <w:rFonts w:ascii="Arial"/>
                        <w:sz w:val="14"/>
                      </w:rPr>
                    </w:pPr>
                    <w:r w:rsidRPr="005C67AD">
                      <w:rPr>
                        <w:rFonts w:ascii="Arial"/>
                        <w:sz w:val="14"/>
                      </w:rPr>
                      <w:t xml:space="preserve">T </w:t>
                    </w:r>
                    <w:proofErr w:type="spellStart"/>
                    <w:r w:rsidRPr="005C67AD">
                      <w:rPr>
                        <w:rFonts w:ascii="Arial"/>
                        <w:sz w:val="14"/>
                      </w:rPr>
                      <w:t>Furuta</w:t>
                    </w:r>
                    <w:proofErr w:type="spellEnd"/>
                    <w:r w:rsidRPr="005C67AD">
                      <w:rPr>
                        <w:rFonts w:ascii="Arial"/>
                        <w:sz w:val="14"/>
                      </w:rPr>
                      <w:t xml:space="preserve"> et al., J Pai n Relief 2016, 5:3(Suppl) </w:t>
                    </w:r>
                    <w:hyperlink r:id="rId2">
                      <w:r w:rsidRPr="005C67AD">
                        <w:rPr>
                          <w:rFonts w:ascii="Arial"/>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1DF98AE" wp14:editId="69F10C2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D565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A5E8A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F98A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2BD565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A5E8A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CB77FFB"/>
    <w:multiLevelType w:val="hybridMultilevel"/>
    <w:tmpl w:val="2826986E"/>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2MLM0NrA0NTA2MzVX0lEKTi0uzszPAykwrAUAd5+NeiwAAAA="/>
  </w:docVars>
  <w:rsids>
    <w:rsidRoot w:val="00AE3E37"/>
    <w:rsid w:val="000C1035"/>
    <w:rsid w:val="000E2911"/>
    <w:rsid w:val="001263DF"/>
    <w:rsid w:val="002455EC"/>
    <w:rsid w:val="00292ED9"/>
    <w:rsid w:val="00404E5B"/>
    <w:rsid w:val="00414F7B"/>
    <w:rsid w:val="004355DC"/>
    <w:rsid w:val="004749B4"/>
    <w:rsid w:val="00494130"/>
    <w:rsid w:val="004F3523"/>
    <w:rsid w:val="005973B9"/>
    <w:rsid w:val="005B3A56"/>
    <w:rsid w:val="005C67AD"/>
    <w:rsid w:val="006060CE"/>
    <w:rsid w:val="0063497F"/>
    <w:rsid w:val="00873DF0"/>
    <w:rsid w:val="008756E6"/>
    <w:rsid w:val="008A08B6"/>
    <w:rsid w:val="009B2D44"/>
    <w:rsid w:val="00A07E82"/>
    <w:rsid w:val="00A9710C"/>
    <w:rsid w:val="00AE3E37"/>
    <w:rsid w:val="00B21A57"/>
    <w:rsid w:val="00C33602"/>
    <w:rsid w:val="00C5108E"/>
    <w:rsid w:val="00CB30B8"/>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0BE4D"/>
  <w15:docId w15:val="{D06850D0-AD35-46A8-9E7F-352BAF117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rsid w:val="00CB30B8"/>
    <w:rPr>
      <w:rFonts w:ascii="Verdana-Bold" w:hAnsi="Verdana-Bold" w:hint="default"/>
      <w:b/>
      <w:bCs/>
      <w:i w:val="0"/>
      <w:iCs w:val="0"/>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deadpunklast@gmail.com</cp:lastModifiedBy>
  <cp:revision>2</cp:revision>
  <dcterms:created xsi:type="dcterms:W3CDTF">2020-12-02T17:40:00Z</dcterms:created>
  <dcterms:modified xsi:type="dcterms:W3CDTF">2020-12-02T17:40:00Z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