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410B0" w14:textId="79BF2A6A" w:rsidR="00AE3E37" w:rsidRDefault="00A01194" w:rsidP="00A01194">
      <w:pPr>
        <w:pStyle w:val="Heading1"/>
        <w:spacing w:before="170"/>
        <w:ind w:left="0"/>
        <w:rPr>
          <w:b w:val="0"/>
          <w:bCs w:val="0"/>
          <w:sz w:val="38"/>
          <w:szCs w:val="38"/>
        </w:rPr>
      </w:pPr>
      <w:r>
        <w:rPr>
          <w:b w:val="0"/>
          <w:bCs w:val="0"/>
          <w:sz w:val="38"/>
          <w:szCs w:val="38"/>
        </w:rPr>
        <w:t>Obliteration of the pulp canal caused by mandibular</w:t>
      </w:r>
      <w:r>
        <w:rPr>
          <w:b w:val="0"/>
          <w:bCs w:val="0"/>
          <w:sz w:val="38"/>
          <w:szCs w:val="38"/>
        </w:rPr>
        <w:t xml:space="preserve"> </w:t>
      </w:r>
      <w:r>
        <w:rPr>
          <w:b w:val="0"/>
          <w:bCs w:val="0"/>
          <w:sz w:val="38"/>
          <w:szCs w:val="38"/>
        </w:rPr>
        <w:t>distraction: a case report</w:t>
      </w:r>
    </w:p>
    <w:p w14:paraId="35CB2336" w14:textId="3FD2BDD6" w:rsidR="00A01194" w:rsidRPr="00A01194" w:rsidRDefault="00A01194" w:rsidP="00A01194">
      <w:pPr>
        <w:pStyle w:val="Heading1"/>
        <w:spacing w:before="170"/>
        <w:ind w:left="0"/>
        <w:rPr>
          <w:rFonts w:ascii="Arial"/>
          <w:sz w:val="18"/>
          <w:szCs w:val="18"/>
        </w:rPr>
      </w:pPr>
      <w:r w:rsidRPr="00A01194">
        <w:rPr>
          <w:sz w:val="18"/>
          <w:szCs w:val="18"/>
        </w:rPr>
        <w:t>Sonia Afzal</w:t>
      </w:r>
    </w:p>
    <w:p w14:paraId="4A00F15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137D32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5AB4CC3" w14:textId="31EBF5AF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443D0B7F" w14:textId="77777777" w:rsidR="00A01194" w:rsidRPr="00A01194" w:rsidRDefault="00A01194">
      <w:pPr>
        <w:pStyle w:val="Heading3"/>
        <w:spacing w:before="147"/>
        <w:jc w:val="both"/>
        <w:rPr>
          <w:rFonts w:asciiTheme="minorHAnsi" w:hAnsiTheme="minorHAnsi" w:cstheme="minorHAnsi"/>
        </w:rPr>
      </w:pPr>
    </w:p>
    <w:p w14:paraId="12E67F2E" w14:textId="54BD2FB1" w:rsidR="00A01194" w:rsidRDefault="00A01194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0"/>
          <w:szCs w:val="20"/>
        </w:rPr>
      </w:pPr>
      <w:r w:rsidRPr="00A01194">
        <w:rPr>
          <w:rFonts w:asciiTheme="minorHAnsi" w:hAnsiTheme="minorHAnsi" w:cstheme="minorHAnsi"/>
          <w:sz w:val="20"/>
          <w:szCs w:val="20"/>
        </w:rPr>
        <w:t>We present a 16-year-old boy with a history of ankylosis of the temporomandibular joint (TMJ) who had been treated with a costochondral</w:t>
      </w:r>
      <w:r w:rsidRPr="00A01194">
        <w:rPr>
          <w:rFonts w:asciiTheme="minorHAnsi" w:hAnsiTheme="minorHAnsi" w:cstheme="minorHAnsi"/>
          <w:sz w:val="20"/>
          <w:szCs w:val="20"/>
        </w:rPr>
        <w:t xml:space="preserve"> </w:t>
      </w:r>
      <w:r w:rsidRPr="00A01194">
        <w:rPr>
          <w:rFonts w:asciiTheme="minorHAnsi" w:hAnsiTheme="minorHAnsi" w:cstheme="minorHAnsi"/>
          <w:sz w:val="20"/>
          <w:szCs w:val="20"/>
        </w:rPr>
        <w:t>graft and mandibular distraction. The distraction seems to have caused pulp canal obliteration of the lower right second premolar and lower</w:t>
      </w:r>
      <w:r w:rsidRPr="00A01194">
        <w:rPr>
          <w:rFonts w:asciiTheme="minorHAnsi" w:hAnsiTheme="minorHAnsi" w:cstheme="minorHAnsi"/>
          <w:sz w:val="20"/>
          <w:szCs w:val="20"/>
        </w:rPr>
        <w:t xml:space="preserve"> </w:t>
      </w:r>
      <w:r w:rsidRPr="00A01194">
        <w:rPr>
          <w:rFonts w:asciiTheme="minorHAnsi" w:hAnsiTheme="minorHAnsi" w:cstheme="minorHAnsi"/>
          <w:sz w:val="20"/>
          <w:szCs w:val="20"/>
        </w:rPr>
        <w:t>right first molar on radiographic examination. To our knowledge this is the only reported instance of such damage related to mandibular</w:t>
      </w:r>
      <w:r w:rsidRPr="00A01194">
        <w:rPr>
          <w:rFonts w:asciiTheme="minorHAnsi" w:hAnsiTheme="minorHAnsi" w:cstheme="minorHAnsi"/>
          <w:sz w:val="20"/>
          <w:szCs w:val="20"/>
        </w:rPr>
        <w:t xml:space="preserve"> </w:t>
      </w:r>
      <w:r w:rsidRPr="00A01194">
        <w:rPr>
          <w:rFonts w:asciiTheme="minorHAnsi" w:hAnsiTheme="minorHAnsi" w:cstheme="minorHAnsi"/>
          <w:sz w:val="20"/>
          <w:szCs w:val="20"/>
        </w:rPr>
        <w:t>distraction. We aim to highlight the risks of this complication and the importance of discussing it with patients as part of the process of</w:t>
      </w:r>
      <w:r w:rsidRPr="00A01194">
        <w:rPr>
          <w:rFonts w:asciiTheme="minorHAnsi" w:hAnsiTheme="minorHAnsi" w:cstheme="minorHAnsi"/>
          <w:sz w:val="20"/>
          <w:szCs w:val="20"/>
        </w:rPr>
        <w:t xml:space="preserve"> </w:t>
      </w:r>
      <w:r w:rsidRPr="00A01194">
        <w:rPr>
          <w:rFonts w:asciiTheme="minorHAnsi" w:hAnsiTheme="minorHAnsi" w:cstheme="minorHAnsi"/>
          <w:sz w:val="20"/>
          <w:szCs w:val="20"/>
        </w:rPr>
        <w:t>informed consent.</w:t>
      </w:r>
    </w:p>
    <w:p w14:paraId="78DB8C50" w14:textId="77777777" w:rsidR="00E11AFB" w:rsidRPr="00A01194" w:rsidRDefault="00E11AFB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0"/>
          <w:szCs w:val="20"/>
        </w:rPr>
      </w:pPr>
    </w:p>
    <w:p w14:paraId="2042124C" w14:textId="0C68FB03" w:rsidR="00A01194" w:rsidRPr="00A01194" w:rsidRDefault="00A01194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0"/>
          <w:szCs w:val="20"/>
        </w:rPr>
      </w:pPr>
      <w:r w:rsidRPr="00A01194">
        <w:rPr>
          <w:rFonts w:asciiTheme="minorHAnsi" w:hAnsiTheme="minorHAnsi" w:cstheme="minorHAnsi"/>
          <w:sz w:val="20"/>
          <w:szCs w:val="20"/>
        </w:rPr>
        <w:t>This case has highlighted an unreported risk of mandibular</w:t>
      </w:r>
      <w:r w:rsidRPr="00A01194">
        <w:rPr>
          <w:rFonts w:asciiTheme="minorHAnsi" w:hAnsiTheme="minorHAnsi" w:cstheme="minorHAnsi"/>
          <w:sz w:val="20"/>
          <w:szCs w:val="20"/>
        </w:rPr>
        <w:t xml:space="preserve"> </w:t>
      </w:r>
      <w:r w:rsidRPr="00A01194">
        <w:rPr>
          <w:rFonts w:asciiTheme="minorHAnsi" w:hAnsiTheme="minorHAnsi" w:cstheme="minorHAnsi"/>
          <w:sz w:val="20"/>
          <w:szCs w:val="20"/>
        </w:rPr>
        <w:t>distraction that we think is important for consenting purposes,</w:t>
      </w:r>
      <w:r w:rsidRPr="00A01194">
        <w:rPr>
          <w:rFonts w:asciiTheme="minorHAnsi" w:hAnsiTheme="minorHAnsi" w:cstheme="minorHAnsi"/>
          <w:sz w:val="20"/>
          <w:szCs w:val="20"/>
        </w:rPr>
        <w:t xml:space="preserve"> </w:t>
      </w:r>
      <w:r w:rsidRPr="00A01194">
        <w:rPr>
          <w:rFonts w:asciiTheme="minorHAnsi" w:hAnsiTheme="minorHAnsi" w:cstheme="minorHAnsi"/>
          <w:sz w:val="20"/>
          <w:szCs w:val="20"/>
        </w:rPr>
        <w:t>particularly in view of the Montgomery case,7(for example,</w:t>
      </w:r>
      <w:r w:rsidRPr="00A01194">
        <w:rPr>
          <w:rFonts w:asciiTheme="minorHAnsi" w:hAnsiTheme="minorHAnsi" w:cstheme="minorHAnsi"/>
          <w:sz w:val="20"/>
          <w:szCs w:val="20"/>
        </w:rPr>
        <w:t xml:space="preserve"> </w:t>
      </w:r>
      <w:r w:rsidRPr="00A01194">
        <w:rPr>
          <w:rFonts w:asciiTheme="minorHAnsi" w:hAnsiTheme="minorHAnsi" w:cstheme="minorHAnsi"/>
          <w:sz w:val="20"/>
          <w:szCs w:val="20"/>
        </w:rPr>
        <w:t>if a patient places high importance on teeth that require further restorative intervention and may be lost prematurely).We plan to inform our patients of the possibility of this com-plication, and encourage our colleagues engaged in this type</w:t>
      </w:r>
      <w:r w:rsidRPr="00A01194">
        <w:rPr>
          <w:rFonts w:asciiTheme="minorHAnsi" w:hAnsiTheme="minorHAnsi" w:cstheme="minorHAnsi"/>
          <w:sz w:val="20"/>
          <w:szCs w:val="20"/>
        </w:rPr>
        <w:t xml:space="preserve"> </w:t>
      </w:r>
      <w:r w:rsidRPr="00A01194">
        <w:rPr>
          <w:rFonts w:asciiTheme="minorHAnsi" w:hAnsiTheme="minorHAnsi" w:cstheme="minorHAnsi"/>
          <w:sz w:val="20"/>
          <w:szCs w:val="20"/>
        </w:rPr>
        <w:t>of work to do the same when appropriate.</w:t>
      </w:r>
    </w:p>
    <w:p w14:paraId="12A0756C" w14:textId="77777777" w:rsidR="00A01194" w:rsidRPr="00A01194" w:rsidRDefault="00A01194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1"/>
          <w:szCs w:val="21"/>
        </w:rPr>
      </w:pPr>
    </w:p>
    <w:p w14:paraId="47ACC263" w14:textId="015DF5EF" w:rsidR="00AE3E37" w:rsidRPr="00A01194" w:rsidRDefault="00A01194" w:rsidP="00A01194">
      <w:pPr>
        <w:pStyle w:val="BodyText"/>
        <w:spacing w:before="90" w:line="280" w:lineRule="auto"/>
        <w:jc w:val="both"/>
        <w:rPr>
          <w:rFonts w:asciiTheme="minorHAnsi" w:hAnsiTheme="minorHAnsi" w:cstheme="minorHAnsi"/>
        </w:rPr>
      </w:pPr>
      <w:r w:rsidRPr="00A01194">
        <w:rPr>
          <w:rFonts w:asciiTheme="minorHAnsi" w:hAnsiTheme="minorHAnsi" w:cstheme="minorHAnsi"/>
        </w:rPr>
        <w:t>© 2019 The British Association of Oral and Maxillofacial Surgeons. Published by Elsevier Ltd. All rights reserved.</w:t>
      </w:r>
    </w:p>
    <w:p w14:paraId="3CC4681D" w14:textId="55DAE7F1" w:rsidR="00A01194" w:rsidRDefault="00A01194">
      <w:pPr>
        <w:pStyle w:val="BodyText"/>
        <w:spacing w:before="90" w:line="280" w:lineRule="auto"/>
        <w:ind w:left="100"/>
        <w:jc w:val="both"/>
      </w:pPr>
    </w:p>
    <w:p w14:paraId="4A00E65C" w14:textId="77777777" w:rsidR="00A01194" w:rsidRDefault="00A01194">
      <w:pPr>
        <w:pStyle w:val="BodyText"/>
        <w:spacing w:before="90" w:line="280" w:lineRule="auto"/>
        <w:ind w:left="100"/>
        <w:jc w:val="both"/>
      </w:pPr>
    </w:p>
    <w:p w14:paraId="49AA1905" w14:textId="30597029"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7230A717" w14:textId="1E2F9098" w:rsidR="00A01194" w:rsidRDefault="00A01194">
      <w:pPr>
        <w:pStyle w:val="Heading3"/>
        <w:spacing w:before="74"/>
        <w:rPr>
          <w:color w:val="BF5A14"/>
        </w:rPr>
      </w:pPr>
    </w:p>
    <w:p w14:paraId="21CACA8C" w14:textId="77777777" w:rsidR="00A01194" w:rsidRDefault="00A01194">
      <w:pPr>
        <w:pStyle w:val="Heading3"/>
        <w:spacing w:before="74"/>
      </w:pPr>
    </w:p>
    <w:p w14:paraId="1D8EB27B" w14:textId="46A535FD" w:rsidR="00AE3E37" w:rsidRDefault="00A01194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         </w:t>
      </w:r>
      <w:r>
        <w:rPr>
          <w:noProof/>
        </w:rPr>
        <w:drawing>
          <wp:inline distT="0" distB="0" distL="0" distR="0" wp14:anchorId="09226C80" wp14:editId="2A483D03">
            <wp:extent cx="2656627" cy="217859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4287" cy="219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A5818" w14:textId="77777777" w:rsidR="00A01194" w:rsidRDefault="00A01194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661CE1C" w14:textId="7CBD1F2E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0A128386" w14:textId="77777777" w:rsidR="00E7289D" w:rsidRDefault="00E7289D" w:rsidP="00E7289D">
      <w:pPr>
        <w:widowControl/>
        <w:tabs>
          <w:tab w:val="right" w:pos="-12412"/>
        </w:tabs>
        <w:contextualSpacing/>
        <w:rPr>
          <w:rFonts w:ascii="Garamond" w:hAnsi="Garamond"/>
          <w:color w:val="000000" w:themeColor="text1"/>
          <w:sz w:val="21"/>
          <w:szCs w:val="21"/>
        </w:rPr>
      </w:pPr>
    </w:p>
    <w:p w14:paraId="34A42989" w14:textId="6B158665" w:rsidR="00E11AFB" w:rsidRPr="00E11AFB" w:rsidRDefault="00E7289D" w:rsidP="00E11AFB">
      <w:pPr>
        <w:pStyle w:val="ListParagraph"/>
        <w:widowControl/>
        <w:numPr>
          <w:ilvl w:val="0"/>
          <w:numId w:val="6"/>
        </w:numPr>
        <w:tabs>
          <w:tab w:val="right" w:pos="-12412"/>
        </w:tabs>
        <w:contextualSpacing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Sonia Afzal, </w:t>
      </w:r>
      <w:proofErr w:type="spellStart"/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Awais</w:t>
      </w:r>
      <w:proofErr w:type="spellEnd"/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Nasir (</w:t>
      </w: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2020</w:t>
      </w: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) Cultural impact on covid-19 spread in Pakistan Submitted for publishing  </w:t>
      </w:r>
    </w:p>
    <w:p w14:paraId="33D1B6AC" w14:textId="77777777" w:rsidR="00E11AFB" w:rsidRPr="00E11AFB" w:rsidRDefault="00E11AFB" w:rsidP="00E11AFB">
      <w:pPr>
        <w:widowControl/>
        <w:tabs>
          <w:tab w:val="right" w:pos="-12412"/>
        </w:tabs>
        <w:contextualSpacing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50D1A223" w14:textId="77777777" w:rsidR="00E11AFB" w:rsidRPr="00E11AFB" w:rsidRDefault="00E7289D" w:rsidP="00E11AFB">
      <w:pPr>
        <w:pStyle w:val="ListParagraph"/>
        <w:widowControl/>
        <w:numPr>
          <w:ilvl w:val="0"/>
          <w:numId w:val="6"/>
        </w:numPr>
        <w:tabs>
          <w:tab w:val="right" w:pos="-12412"/>
        </w:tabs>
        <w:contextualSpacing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Olivia Johnson, Sonia Afzal, Valmiki Sharma (</w:t>
      </w: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2019</w:t>
      </w: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) </w:t>
      </w: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Mandibular Distraction Causing Pulp Canal Obliteration: A Case Repor</w:t>
      </w: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t</w:t>
      </w:r>
      <w:r w:rsidR="00E11AFB"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The British Journal of Oral &amp; Maxillofacial Surgery</w:t>
      </w:r>
    </w:p>
    <w:p w14:paraId="6059C6A6" w14:textId="35D894CF" w:rsidR="00E11AFB" w:rsidRPr="00E11AFB" w:rsidRDefault="00E7289D" w:rsidP="00E11AFB">
      <w:pPr>
        <w:widowControl/>
        <w:tabs>
          <w:tab w:val="right" w:pos="-12412"/>
        </w:tabs>
        <w:contextualSpacing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</w:p>
    <w:p w14:paraId="5721E5A0" w14:textId="668275B9" w:rsidR="00E11AFB" w:rsidRPr="00E11AFB" w:rsidRDefault="00E7289D" w:rsidP="00E11AFB">
      <w:pPr>
        <w:pStyle w:val="ListParagraph"/>
        <w:widowControl/>
        <w:numPr>
          <w:ilvl w:val="0"/>
          <w:numId w:val="6"/>
        </w:numPr>
        <w:tabs>
          <w:tab w:val="right" w:pos="-12412"/>
        </w:tabs>
        <w:contextualSpacing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Shujaat Hasan Idrees, Sonia Afzal </w:t>
      </w: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Effects of Sensory disturbances in Cleft Lip and Palate patients</w:t>
      </w: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(2014) Pakistan Oral and dental journal</w:t>
      </w:r>
    </w:p>
    <w:p w14:paraId="35EB22E2" w14:textId="77777777" w:rsidR="00E11AFB" w:rsidRPr="00E11AFB" w:rsidRDefault="00E11AFB" w:rsidP="00E11AFB">
      <w:pPr>
        <w:widowControl/>
        <w:tabs>
          <w:tab w:val="right" w:pos="-12412"/>
        </w:tabs>
        <w:contextualSpacing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3B7016C" w14:textId="47A2643C" w:rsidR="00E11AFB" w:rsidRPr="00E11AFB" w:rsidRDefault="00E7289D" w:rsidP="00E11AFB">
      <w:pPr>
        <w:pStyle w:val="ListParagraph"/>
        <w:widowControl/>
        <w:numPr>
          <w:ilvl w:val="0"/>
          <w:numId w:val="6"/>
        </w:numPr>
        <w:tabs>
          <w:tab w:val="right" w:pos="-12412"/>
        </w:tabs>
        <w:contextualSpacing/>
        <w:rPr>
          <w:rFonts w:asciiTheme="minorHAnsi" w:hAnsiTheme="minorHAnsi" w:cstheme="minorHAnsi"/>
          <w:color w:val="000000" w:themeColor="text1"/>
          <w:sz w:val="16"/>
          <w:szCs w:val="16"/>
        </w:rPr>
      </w:pPr>
      <w:proofErr w:type="spellStart"/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Nazli</w:t>
      </w:r>
      <w:proofErr w:type="spellEnd"/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Gul Shujaat, Sonia Afzal </w:t>
      </w:r>
      <w:r w:rsidR="00E11AFB"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Relationship between quality of life and psycho-social functioning among children and adolescents with cleft lip and palate</w:t>
      </w:r>
      <w:r w:rsidR="00E11AFB"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(2014)</w:t>
      </w:r>
      <w:r w:rsid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 w:rsidR="00E11AFB"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Pakistan Oral and dental journal</w:t>
      </w:r>
    </w:p>
    <w:p w14:paraId="41078879" w14:textId="77777777" w:rsidR="00E11AFB" w:rsidRPr="00E11AFB" w:rsidRDefault="00E11AFB" w:rsidP="00E11AFB">
      <w:pPr>
        <w:pStyle w:val="ListParagraph"/>
        <w:widowControl/>
        <w:tabs>
          <w:tab w:val="right" w:pos="-12412"/>
        </w:tabs>
        <w:ind w:left="720" w:firstLine="0"/>
        <w:contextualSpacing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1B3677A5" w14:textId="56787C80" w:rsidR="00E7289D" w:rsidRPr="00E11AFB" w:rsidRDefault="00E11AFB" w:rsidP="00E11AFB">
      <w:pPr>
        <w:pStyle w:val="ListParagraph"/>
        <w:widowControl/>
        <w:numPr>
          <w:ilvl w:val="0"/>
          <w:numId w:val="6"/>
        </w:numPr>
        <w:tabs>
          <w:tab w:val="right" w:pos="-12412"/>
        </w:tabs>
        <w:contextualSpacing/>
        <w:rPr>
          <w:rFonts w:asciiTheme="minorHAnsi" w:hAnsiTheme="minorHAnsi" w:cstheme="minorHAnsi"/>
          <w:color w:val="000000" w:themeColor="text1"/>
          <w:sz w:val="16"/>
          <w:szCs w:val="16"/>
        </w:rPr>
      </w:pPr>
      <w:proofErr w:type="spellStart"/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Nazli</w:t>
      </w:r>
      <w:proofErr w:type="spellEnd"/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Gul Shujaat, Sonia Afzal (2013) </w:t>
      </w:r>
      <w:r w:rsidRPr="00E11AFB">
        <w:rPr>
          <w:rFonts w:asciiTheme="minorHAnsi" w:hAnsiTheme="minorHAnsi" w:cstheme="minorHAnsi"/>
          <w:color w:val="000000" w:themeColor="text1"/>
          <w:sz w:val="16"/>
          <w:szCs w:val="16"/>
        </w:rPr>
        <w:t>Attitudes, practice and addiction towards Water-pipe/ Shisha smoking in Lahore</w:t>
      </w:r>
    </w:p>
    <w:p w14:paraId="28E55BDD" w14:textId="696A633A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0201F838" w14:textId="77777777" w:rsidR="00AE3E37" w:rsidRDefault="00AE3E37">
      <w:pPr>
        <w:pStyle w:val="BodyText"/>
        <w:rPr>
          <w:rFonts w:ascii="Calibri"/>
          <w:sz w:val="20"/>
        </w:rPr>
      </w:pPr>
    </w:p>
    <w:p w14:paraId="209C220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3FC2365" wp14:editId="7AE684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6DA46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0D274C3" w14:textId="2EE9EDFE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D4E2E">
        <w:rPr>
          <w:noProof/>
        </w:rPr>
        <w:drawing>
          <wp:inline distT="0" distB="0" distL="0" distR="0" wp14:anchorId="0DFE7E19" wp14:editId="73306841">
            <wp:extent cx="437990" cy="613229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09" cy="67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4E2E">
        <w:rPr>
          <w:noProof/>
        </w:rPr>
        <w:t xml:space="preserve"> </w:t>
      </w:r>
      <w:r w:rsidR="002D4E2E">
        <w:rPr>
          <w:rFonts w:ascii="Arial"/>
          <w:color w:val="BF5A14"/>
        </w:rPr>
        <w:t>Sonia Afzal</w:t>
      </w:r>
      <w:r w:rsidR="00404E5B">
        <w:rPr>
          <w:rFonts w:ascii="Arial"/>
          <w:color w:val="BF5A14"/>
        </w:rPr>
        <w:t xml:space="preserve"> </w:t>
      </w:r>
    </w:p>
    <w:p w14:paraId="6DFB82C7" w14:textId="577E6131" w:rsidR="002D4E2E" w:rsidRPr="00827946" w:rsidRDefault="002D4E2E" w:rsidP="00827946">
      <w:pPr>
        <w:ind w:left="720"/>
        <w:rPr>
          <w:rFonts w:ascii="Arial" w:hAnsi="Arial" w:cs="Arial"/>
          <w:sz w:val="16"/>
          <w:szCs w:val="16"/>
        </w:rPr>
      </w:pPr>
      <w:r w:rsidRPr="00827946">
        <w:rPr>
          <w:rFonts w:ascii="Arial" w:hAnsi="Arial" w:cs="Arial"/>
          <w:sz w:val="16"/>
          <w:szCs w:val="16"/>
        </w:rPr>
        <w:t xml:space="preserve">I, Sonia Afzal </w:t>
      </w:r>
      <w:r w:rsidRPr="00827946">
        <w:rPr>
          <w:rFonts w:ascii="Arial" w:hAnsi="Arial" w:cs="Arial"/>
          <w:sz w:val="16"/>
          <w:szCs w:val="16"/>
        </w:rPr>
        <w:t xml:space="preserve">obtain great joy by helping people feel confident about their smiles. </w:t>
      </w:r>
      <w:r w:rsidR="00827946" w:rsidRPr="00827946">
        <w:rPr>
          <w:rFonts w:ascii="Arial" w:hAnsi="Arial" w:cs="Arial"/>
          <w:sz w:val="16"/>
          <w:szCs w:val="16"/>
        </w:rPr>
        <w:t>My advanced</w:t>
      </w:r>
      <w:r w:rsidR="00A9710C" w:rsidRPr="00827946">
        <w:rPr>
          <w:rFonts w:ascii="Arial" w:hAnsi="Arial" w:cs="Arial"/>
          <w:sz w:val="16"/>
          <w:szCs w:val="16"/>
        </w:rPr>
        <w:t xml:space="preserve"> evaluation </w:t>
      </w:r>
      <w:r w:rsidR="00827946" w:rsidRPr="00827946">
        <w:rPr>
          <w:rFonts w:ascii="Arial" w:hAnsi="Arial" w:cs="Arial"/>
          <w:sz w:val="16"/>
          <w:szCs w:val="16"/>
        </w:rPr>
        <w:t>and treatment planning</w:t>
      </w:r>
      <w:r w:rsidR="000E2911" w:rsidRPr="00827946">
        <w:rPr>
          <w:rFonts w:ascii="Arial" w:hAnsi="Arial" w:cs="Arial"/>
          <w:sz w:val="16"/>
          <w:szCs w:val="16"/>
        </w:rPr>
        <w:t xml:space="preserve"> </w:t>
      </w:r>
      <w:r w:rsidR="00A9710C" w:rsidRPr="00827946">
        <w:rPr>
          <w:rFonts w:ascii="Arial" w:hAnsi="Arial" w:cs="Arial"/>
          <w:sz w:val="16"/>
          <w:szCs w:val="16"/>
        </w:rPr>
        <w:t>creates</w:t>
      </w:r>
      <w:r w:rsidR="000E2911" w:rsidRPr="00827946">
        <w:rPr>
          <w:rFonts w:ascii="Arial" w:hAnsi="Arial" w:cs="Arial"/>
          <w:sz w:val="16"/>
          <w:szCs w:val="16"/>
        </w:rPr>
        <w:t xml:space="preserve"> </w:t>
      </w:r>
      <w:r w:rsidR="00A9710C" w:rsidRPr="00827946">
        <w:rPr>
          <w:rFonts w:ascii="Arial" w:hAnsi="Arial" w:cs="Arial"/>
          <w:sz w:val="16"/>
          <w:szCs w:val="16"/>
        </w:rPr>
        <w:t>new</w:t>
      </w:r>
      <w:r w:rsidR="000E2911" w:rsidRPr="00827946">
        <w:rPr>
          <w:rFonts w:ascii="Arial" w:hAnsi="Arial" w:cs="Arial"/>
          <w:sz w:val="16"/>
          <w:szCs w:val="16"/>
        </w:rPr>
        <w:t xml:space="preserve"> </w:t>
      </w:r>
      <w:r w:rsidR="00A9710C" w:rsidRPr="00827946">
        <w:rPr>
          <w:rFonts w:ascii="Arial" w:hAnsi="Arial" w:cs="Arial"/>
          <w:sz w:val="16"/>
          <w:szCs w:val="16"/>
        </w:rPr>
        <w:t>pathways</w:t>
      </w:r>
      <w:r w:rsidR="000E2911" w:rsidRPr="00827946">
        <w:rPr>
          <w:rFonts w:ascii="Arial" w:hAnsi="Arial" w:cs="Arial"/>
          <w:sz w:val="16"/>
          <w:szCs w:val="16"/>
        </w:rPr>
        <w:t xml:space="preserve"> </w:t>
      </w:r>
      <w:r w:rsidR="00A9710C" w:rsidRPr="00827946">
        <w:rPr>
          <w:rFonts w:ascii="Arial" w:hAnsi="Arial" w:cs="Arial"/>
          <w:sz w:val="16"/>
          <w:szCs w:val="16"/>
        </w:rPr>
        <w:t>for</w:t>
      </w:r>
      <w:r w:rsidR="000E2911" w:rsidRPr="00827946">
        <w:rPr>
          <w:rFonts w:ascii="Arial" w:hAnsi="Arial" w:cs="Arial"/>
          <w:sz w:val="16"/>
          <w:szCs w:val="16"/>
        </w:rPr>
        <w:t xml:space="preserve"> </w:t>
      </w:r>
      <w:r w:rsidR="00A9710C" w:rsidRPr="00827946">
        <w:rPr>
          <w:rFonts w:ascii="Arial" w:hAnsi="Arial" w:cs="Arial"/>
          <w:sz w:val="16"/>
          <w:szCs w:val="16"/>
        </w:rPr>
        <w:t>improving</w:t>
      </w:r>
      <w:r w:rsidR="000E2911" w:rsidRPr="00827946">
        <w:rPr>
          <w:rFonts w:ascii="Arial" w:hAnsi="Arial" w:cs="Arial"/>
          <w:sz w:val="16"/>
          <w:szCs w:val="16"/>
        </w:rPr>
        <w:t xml:space="preserve"> </w:t>
      </w:r>
      <w:r w:rsidR="00A9710C" w:rsidRPr="00827946">
        <w:rPr>
          <w:rFonts w:ascii="Arial" w:hAnsi="Arial" w:cs="Arial"/>
          <w:sz w:val="16"/>
          <w:szCs w:val="16"/>
        </w:rPr>
        <w:t>healthcare.</w:t>
      </w:r>
      <w:r w:rsidR="000E2911" w:rsidRPr="00827946">
        <w:rPr>
          <w:rFonts w:ascii="Arial" w:hAnsi="Arial" w:cs="Arial"/>
          <w:sz w:val="16"/>
          <w:szCs w:val="16"/>
        </w:rPr>
        <w:t xml:space="preserve"> </w:t>
      </w:r>
      <w:r w:rsidRPr="00827946">
        <w:rPr>
          <w:rFonts w:ascii="Arial" w:hAnsi="Arial" w:cs="Arial"/>
          <w:sz w:val="16"/>
          <w:szCs w:val="16"/>
        </w:rPr>
        <w:t>After graduating, I worked as a dentist for</w:t>
      </w:r>
      <w:r w:rsidRPr="00827946">
        <w:rPr>
          <w:rFonts w:ascii="Arial" w:hAnsi="Arial" w:cs="Arial"/>
          <w:sz w:val="16"/>
          <w:szCs w:val="16"/>
        </w:rPr>
        <w:t xml:space="preserve"> two</w:t>
      </w:r>
      <w:r w:rsidRPr="00827946">
        <w:rPr>
          <w:rFonts w:ascii="Arial" w:hAnsi="Arial" w:cs="Arial"/>
          <w:sz w:val="16"/>
          <w:szCs w:val="16"/>
        </w:rPr>
        <w:t xml:space="preserve"> year</w:t>
      </w:r>
      <w:r w:rsidRPr="00827946">
        <w:rPr>
          <w:rFonts w:ascii="Arial" w:hAnsi="Arial" w:cs="Arial"/>
          <w:sz w:val="16"/>
          <w:szCs w:val="16"/>
        </w:rPr>
        <w:t>s</w:t>
      </w:r>
      <w:r w:rsidRPr="00827946">
        <w:rPr>
          <w:rFonts w:ascii="Arial" w:hAnsi="Arial" w:cs="Arial"/>
          <w:sz w:val="16"/>
          <w:szCs w:val="16"/>
        </w:rPr>
        <w:t xml:space="preserve"> before I moved to the UK. I learned all about clinical dentistry and understood the importance of interaction and effective communication with patients.</w:t>
      </w:r>
      <w:r w:rsidRPr="00827946">
        <w:rPr>
          <w:rFonts w:ascii="Arial" w:hAnsi="Arial" w:cs="Arial"/>
          <w:spacing w:val="-7"/>
          <w:sz w:val="16"/>
          <w:szCs w:val="16"/>
          <w:shd w:val="clear" w:color="auto" w:fill="FFFFFF"/>
        </w:rPr>
        <w:t xml:space="preserve">  Building relationships has been one of my main draws to the profession.</w:t>
      </w:r>
      <w:r w:rsidR="00827946" w:rsidRPr="00827946">
        <w:rPr>
          <w:rFonts w:ascii="Arial" w:hAnsi="Arial" w:cs="Arial"/>
          <w:spacing w:val="-7"/>
          <w:sz w:val="16"/>
          <w:szCs w:val="16"/>
          <w:shd w:val="clear" w:color="auto" w:fill="FFFFFF"/>
        </w:rPr>
        <w:t xml:space="preserve"> Several years of experience in research, teaching and clinical practice has helped me build this personality.</w:t>
      </w:r>
    </w:p>
    <w:p w14:paraId="252B07AF" w14:textId="61A9FF39" w:rsidR="00AE3E37" w:rsidRDefault="00E11AFB" w:rsidP="00E11AF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343B9D97" wp14:editId="06C5B52E">
                <wp:simplePos x="0" y="0"/>
                <wp:positionH relativeFrom="page">
                  <wp:posOffset>2058670</wp:posOffset>
                </wp:positionH>
                <wp:positionV relativeFrom="paragraph">
                  <wp:posOffset>269875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91DBA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21.25pt" to="433.1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DBPr1K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  <w:r w:rsidR="00A9710C">
        <w:rPr>
          <w:rFonts w:ascii="Arial"/>
          <w:sz w:val="14"/>
        </w:rPr>
        <w:t xml:space="preserve">Email: </w:t>
      </w:r>
      <w:hyperlink r:id="rId11" w:history="1">
        <w:r w:rsidRPr="007016C9">
          <w:rPr>
            <w:rStyle w:val="Hyperlink"/>
            <w:rFonts w:ascii="Arial"/>
            <w:sz w:val="14"/>
          </w:rPr>
          <w:t>sonia-afzal@hotmail.com</w:t>
        </w:r>
      </w:hyperlink>
    </w:p>
    <w:p w14:paraId="30978FD6" w14:textId="3D600CDD" w:rsidR="00E11AFB" w:rsidRDefault="00E11AFB" w:rsidP="00E11AFB">
      <w:pPr>
        <w:spacing w:before="62"/>
        <w:ind w:left="4217" w:right="4235"/>
        <w:jc w:val="center"/>
        <w:rPr>
          <w:rFonts w:ascii="Arial"/>
          <w:sz w:val="19"/>
        </w:rPr>
      </w:pPr>
    </w:p>
    <w:p w14:paraId="7ED289E1" w14:textId="77777777" w:rsidR="00AE3E37" w:rsidRDefault="00AE3E37">
      <w:pPr>
        <w:pStyle w:val="BodyText"/>
        <w:rPr>
          <w:rFonts w:ascii="Arial"/>
          <w:sz w:val="20"/>
        </w:rPr>
      </w:pPr>
    </w:p>
    <w:p w14:paraId="6E007D9D" w14:textId="77777777" w:rsidR="00AE3E37" w:rsidRDefault="00AE3E37">
      <w:pPr>
        <w:pStyle w:val="BodyText"/>
        <w:rPr>
          <w:rFonts w:ascii="Arial"/>
          <w:sz w:val="20"/>
        </w:rPr>
      </w:pPr>
    </w:p>
    <w:p w14:paraId="23DFDA10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220A60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98D42A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C229C" w14:textId="77777777" w:rsidR="004667D9" w:rsidRDefault="004667D9">
      <w:r>
        <w:separator/>
      </w:r>
    </w:p>
  </w:endnote>
  <w:endnote w:type="continuationSeparator" w:id="0">
    <w:p w14:paraId="49C77CA3" w14:textId="77777777" w:rsidR="004667D9" w:rsidRDefault="00466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F107C" w14:textId="6CBFEF25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A83DF35" wp14:editId="1A465B6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D8F6B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D7CA1D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3DF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BD8F6B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D7CA1D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6ED14E2" wp14:editId="4046E6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402F4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D62B3E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ED14E2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34402F4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D62B3E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429C1B" w14:textId="77777777" w:rsidR="004667D9" w:rsidRDefault="004667D9">
      <w:r>
        <w:separator/>
      </w:r>
    </w:p>
  </w:footnote>
  <w:footnote w:type="continuationSeparator" w:id="0">
    <w:p w14:paraId="77CB09F7" w14:textId="77777777" w:rsidR="004667D9" w:rsidRDefault="00466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724B5" w14:textId="6DF75B93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7C86134" wp14:editId="2D45AC0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4C3FC" w14:textId="334950F6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8613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7AF4C3FC" w14:textId="334950F6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C2693E"/>
    <w:multiLevelType w:val="hybridMultilevel"/>
    <w:tmpl w:val="0448C0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3661896"/>
    <w:multiLevelType w:val="hybridMultilevel"/>
    <w:tmpl w:val="C50AA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B05D07"/>
    <w:multiLevelType w:val="hybridMultilevel"/>
    <w:tmpl w:val="28CEF3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2455EC"/>
    <w:rsid w:val="00292ED9"/>
    <w:rsid w:val="002D4E2E"/>
    <w:rsid w:val="00404E5B"/>
    <w:rsid w:val="00414F7B"/>
    <w:rsid w:val="004355DC"/>
    <w:rsid w:val="004667D9"/>
    <w:rsid w:val="004749B4"/>
    <w:rsid w:val="00494130"/>
    <w:rsid w:val="004F3523"/>
    <w:rsid w:val="005973B9"/>
    <w:rsid w:val="005B3A56"/>
    <w:rsid w:val="006060CE"/>
    <w:rsid w:val="0063497F"/>
    <w:rsid w:val="00827946"/>
    <w:rsid w:val="00873DF0"/>
    <w:rsid w:val="008756E6"/>
    <w:rsid w:val="008A08B6"/>
    <w:rsid w:val="009B2D44"/>
    <w:rsid w:val="00A01194"/>
    <w:rsid w:val="00A07E82"/>
    <w:rsid w:val="00A9710C"/>
    <w:rsid w:val="00AE3E37"/>
    <w:rsid w:val="00B21A57"/>
    <w:rsid w:val="00C33602"/>
    <w:rsid w:val="00CD6F55"/>
    <w:rsid w:val="00DE3104"/>
    <w:rsid w:val="00E11AFB"/>
    <w:rsid w:val="00E26B10"/>
    <w:rsid w:val="00E7289D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6D56D0"/>
  <w15:docId w15:val="{D18D0E78-C4F9-4542-9D25-118EEF4EE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11A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onia-afzal@hot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sonia afzal</cp:lastModifiedBy>
  <cp:revision>2</cp:revision>
  <dcterms:created xsi:type="dcterms:W3CDTF">2020-11-19T12:41:00Z</dcterms:created>
  <dcterms:modified xsi:type="dcterms:W3CDTF">2020-11-19T12:41:00Z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