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467" w:rsidRPr="00143467" w:rsidRDefault="00143467" w:rsidP="00927866">
      <w:pPr>
        <w:spacing w:line="480" w:lineRule="auto"/>
        <w:rPr>
          <w:rFonts w:ascii="Helvetica" w:hAnsi="Helvetica" w:cs="Helvetica"/>
          <w:color w:val="202124"/>
          <w:sz w:val="33"/>
          <w:szCs w:val="33"/>
          <w:shd w:val="clear" w:color="auto" w:fill="FFFFFF"/>
          <w:lang w:val="en-GB"/>
        </w:rPr>
      </w:pPr>
      <w:r w:rsidRPr="00143467">
        <w:rPr>
          <w:rFonts w:ascii="Helvetica" w:hAnsi="Helvetica" w:cs="Helvetica"/>
          <w:color w:val="202124"/>
          <w:sz w:val="33"/>
          <w:szCs w:val="33"/>
          <w:shd w:val="clear" w:color="auto" w:fill="FFFFFF"/>
          <w:lang w:val="en-GB"/>
        </w:rPr>
        <w:t>Webinar on Advance Dentistry</w:t>
      </w:r>
      <w:r w:rsidRPr="00143467">
        <w:rPr>
          <w:rFonts w:ascii="Helvetica" w:hAnsi="Helvetica" w:cs="Helvetica"/>
          <w:color w:val="202124"/>
          <w:sz w:val="33"/>
          <w:szCs w:val="33"/>
          <w:shd w:val="clear" w:color="auto" w:fill="FFFFFF"/>
          <w:lang w:val="en-GB"/>
        </w:rPr>
        <w:t>: abstract</w:t>
      </w:r>
    </w:p>
    <w:p w:rsidR="00143467" w:rsidRDefault="00143467" w:rsidP="00927866">
      <w:pPr>
        <w:spacing w:line="480" w:lineRule="auto"/>
        <w:rPr>
          <w:rFonts w:ascii="Helvetica" w:hAnsi="Helvetica" w:cs="Helvetica"/>
          <w:color w:val="202124"/>
          <w:sz w:val="33"/>
          <w:szCs w:val="33"/>
          <w:shd w:val="clear" w:color="auto" w:fill="FFFFFF"/>
          <w:lang w:val="en-GB"/>
        </w:rPr>
      </w:pPr>
      <w:r w:rsidRPr="00143467">
        <w:rPr>
          <w:rFonts w:ascii="Helvetica" w:hAnsi="Helvetica" w:cs="Helvetica"/>
          <w:color w:val="202124"/>
          <w:sz w:val="33"/>
          <w:szCs w:val="33"/>
          <w:shd w:val="clear" w:color="auto" w:fill="FFFFFF"/>
          <w:lang w:val="en-GB"/>
        </w:rPr>
        <w:t>Dr Michele Antonio Lopez</w:t>
      </w:r>
    </w:p>
    <w:p w:rsidR="00143467" w:rsidRPr="00143467" w:rsidRDefault="00143467" w:rsidP="00143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3467">
        <w:rPr>
          <w:rFonts w:ascii="Times New Roman" w:eastAsia="Times New Roman" w:hAnsi="Times New Roman" w:cs="Times New Roman"/>
          <w:sz w:val="24"/>
          <w:szCs w:val="24"/>
          <w:lang w:eastAsia="it-IT"/>
        </w:rPr>
        <w:t>TI UOS ORL </w:t>
      </w:r>
    </w:p>
    <w:p w:rsidR="00143467" w:rsidRDefault="00143467" w:rsidP="00143467">
      <w:pPr>
        <w:spacing w:line="480" w:lineRule="auto"/>
        <w:rPr>
          <w:rFonts w:ascii="Helvetica" w:hAnsi="Helvetica" w:cs="Helvetica"/>
          <w:color w:val="202124"/>
          <w:sz w:val="33"/>
          <w:szCs w:val="33"/>
          <w:shd w:val="clear" w:color="auto" w:fill="FFFFFF"/>
          <w:lang w:val="en-GB"/>
        </w:rPr>
      </w:pPr>
      <w:r w:rsidRPr="00143467">
        <w:rPr>
          <w:rFonts w:ascii="Times New Roman" w:eastAsia="Times New Roman" w:hAnsi="Times New Roman" w:cs="Times New Roman"/>
          <w:sz w:val="24"/>
          <w:szCs w:val="24"/>
          <w:lang w:eastAsia="it-IT"/>
        </w:rPr>
        <w:t>Policlinico Universitario Campus Biomedico - Roma</w:t>
      </w:r>
      <w:bookmarkStart w:id="0" w:name="_GoBack"/>
      <w:bookmarkEnd w:id="0"/>
    </w:p>
    <w:p w:rsidR="00143467" w:rsidRPr="00143467" w:rsidRDefault="00143467" w:rsidP="00143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3467">
        <w:rPr>
          <w:rFonts w:ascii="Times New Roman" w:eastAsia="Times New Roman" w:hAnsi="Times New Roman" w:cs="Times New Roman"/>
          <w:sz w:val="24"/>
          <w:szCs w:val="24"/>
          <w:lang w:eastAsia="it-IT"/>
        </w:rPr>
        <w:t>Via delle Cave, 38</w:t>
      </w:r>
    </w:p>
    <w:p w:rsidR="00143467" w:rsidRPr="00143467" w:rsidRDefault="00143467" w:rsidP="00143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3467">
        <w:rPr>
          <w:rFonts w:ascii="Times New Roman" w:eastAsia="Times New Roman" w:hAnsi="Times New Roman" w:cs="Times New Roman"/>
          <w:sz w:val="24"/>
          <w:szCs w:val="24"/>
          <w:lang w:eastAsia="it-IT"/>
        </w:rPr>
        <w:t>00181 Roma</w:t>
      </w:r>
    </w:p>
    <w:p w:rsidR="00143467" w:rsidRPr="00143467" w:rsidRDefault="00143467" w:rsidP="00143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3467">
        <w:rPr>
          <w:rFonts w:ascii="Times New Roman" w:eastAsia="Times New Roman" w:hAnsi="Times New Roman" w:cs="Times New Roman"/>
          <w:sz w:val="24"/>
          <w:szCs w:val="24"/>
          <w:lang w:eastAsia="it-IT"/>
        </w:rPr>
        <w:t>+39 067883044</w:t>
      </w:r>
    </w:p>
    <w:p w:rsidR="00143467" w:rsidRPr="00143467" w:rsidRDefault="00143467" w:rsidP="00143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43467">
        <w:rPr>
          <w:rFonts w:ascii="Times New Roman" w:eastAsia="Times New Roman" w:hAnsi="Times New Roman" w:cs="Times New Roman"/>
          <w:sz w:val="24"/>
          <w:szCs w:val="24"/>
          <w:lang w:eastAsia="it-IT"/>
        </w:rPr>
        <w:t>+39 3392566402</w:t>
      </w:r>
    </w:p>
    <w:p w:rsidR="00143467" w:rsidRPr="00143467" w:rsidRDefault="00143467" w:rsidP="00143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43467" w:rsidRPr="00143467" w:rsidRDefault="00143467" w:rsidP="00927866">
      <w:pPr>
        <w:spacing w:line="480" w:lineRule="auto"/>
        <w:rPr>
          <w:rFonts w:ascii="Verdana" w:hAnsi="Verdana"/>
          <w:color w:val="000000" w:themeColor="text1"/>
          <w:sz w:val="18"/>
          <w:szCs w:val="18"/>
          <w:lang w:val="en-GB"/>
        </w:rPr>
      </w:pPr>
    </w:p>
    <w:p w:rsidR="00143467" w:rsidRDefault="00143467" w:rsidP="00927866">
      <w:pPr>
        <w:spacing w:line="480" w:lineRule="auto"/>
        <w:rPr>
          <w:rFonts w:ascii="Verdana" w:hAnsi="Verdana"/>
          <w:color w:val="000000" w:themeColor="text1"/>
          <w:sz w:val="18"/>
          <w:szCs w:val="18"/>
          <w:lang w:val="en-GB"/>
        </w:rPr>
      </w:pPr>
    </w:p>
    <w:p w:rsidR="00927866" w:rsidRDefault="00927866" w:rsidP="00927866">
      <w:pPr>
        <w:spacing w:line="480" w:lineRule="auto"/>
        <w:rPr>
          <w:rFonts w:ascii="Verdana" w:hAnsi="Verdana"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color w:val="000000" w:themeColor="text1"/>
          <w:sz w:val="18"/>
          <w:szCs w:val="18"/>
          <w:lang w:val="en-GB"/>
        </w:rPr>
        <w:t xml:space="preserve">The Bone Layer Technique: </w:t>
      </w:r>
      <w:proofErr w:type="gramStart"/>
      <w:r>
        <w:rPr>
          <w:rFonts w:ascii="Verdana" w:hAnsi="Verdana"/>
          <w:color w:val="000000" w:themeColor="text1"/>
          <w:sz w:val="18"/>
          <w:szCs w:val="18"/>
          <w:lang w:val="en-GB"/>
        </w:rPr>
        <w:t>long term</w:t>
      </w:r>
      <w:proofErr w:type="gramEnd"/>
      <w:r>
        <w:rPr>
          <w:rFonts w:ascii="Verdana" w:hAnsi="Verdana"/>
          <w:color w:val="000000" w:themeColor="text1"/>
          <w:sz w:val="18"/>
          <w:szCs w:val="18"/>
          <w:lang w:val="en-GB"/>
        </w:rPr>
        <w:t xml:space="preserve"> results</w:t>
      </w:r>
    </w:p>
    <w:p w:rsidR="00927866" w:rsidRDefault="00927866" w:rsidP="00927866">
      <w:pPr>
        <w:spacing w:line="480" w:lineRule="auto"/>
        <w:rPr>
          <w:rFonts w:ascii="Verdana" w:hAnsi="Verdana"/>
          <w:color w:val="000000" w:themeColor="text1"/>
          <w:sz w:val="18"/>
          <w:szCs w:val="18"/>
          <w:lang w:val="en-GB"/>
        </w:rPr>
      </w:pPr>
    </w:p>
    <w:p w:rsidR="00927866" w:rsidRDefault="00927866" w:rsidP="00927866">
      <w:pPr>
        <w:spacing w:line="480" w:lineRule="auto"/>
        <w:rPr>
          <w:rFonts w:ascii="Verdana" w:hAnsi="Verdana"/>
          <w:color w:val="000000" w:themeColor="text1"/>
          <w:sz w:val="18"/>
          <w:szCs w:val="18"/>
          <w:lang w:val="en-GB"/>
        </w:rPr>
      </w:pPr>
    </w:p>
    <w:p w:rsidR="00363FE1" w:rsidRPr="00927866" w:rsidRDefault="00927866" w:rsidP="00927866">
      <w:pPr>
        <w:spacing w:line="480" w:lineRule="auto"/>
        <w:rPr>
          <w:color w:val="000000" w:themeColor="text1"/>
          <w:lang w:val="en-GB"/>
        </w:rPr>
      </w:pPr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 xml:space="preserve">The Bone Layer Technique allows for the horizontal and vertical regeneration of atrophic </w:t>
      </w:r>
      <w:proofErr w:type="spellStart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>crestal</w:t>
      </w:r>
      <w:proofErr w:type="spellEnd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 xml:space="preserve"> ridge using a </w:t>
      </w:r>
      <w:proofErr w:type="spellStart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>resorbable</w:t>
      </w:r>
      <w:proofErr w:type="spellEnd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 xml:space="preserve"> Cortical Lamina, a </w:t>
      </w:r>
      <w:proofErr w:type="spellStart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>collagenated</w:t>
      </w:r>
      <w:proofErr w:type="spellEnd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 xml:space="preserve"> biomaterial and a collagen membrane. When the vestibular and/or lingual bony wall is missing, a </w:t>
      </w:r>
      <w:proofErr w:type="spellStart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>fullthickness</w:t>
      </w:r>
      <w:proofErr w:type="spellEnd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 xml:space="preserve"> flap </w:t>
      </w:r>
      <w:proofErr w:type="gramStart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>is released</w:t>
      </w:r>
      <w:proofErr w:type="gramEnd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 xml:space="preserve"> and the Cortical Lamina is fixed with titanium pins. The defect is then filled with </w:t>
      </w:r>
      <w:proofErr w:type="spellStart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>collagenated</w:t>
      </w:r>
      <w:proofErr w:type="spellEnd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 xml:space="preserve"> biomaterials (e.g. mp3</w:t>
      </w:r>
      <w:proofErr w:type="gramStart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>)the</w:t>
      </w:r>
      <w:proofErr w:type="gramEnd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 xml:space="preserve"> occlusal surface is covered with an Evolution collagen membrane. Flaps </w:t>
      </w:r>
      <w:proofErr w:type="gramStart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>are then sutured</w:t>
      </w:r>
      <w:proofErr w:type="gramEnd"/>
      <w:r w:rsidRPr="00927866">
        <w:rPr>
          <w:rFonts w:ascii="Verdana" w:hAnsi="Verdana"/>
          <w:color w:val="000000" w:themeColor="text1"/>
          <w:sz w:val="18"/>
          <w:szCs w:val="18"/>
          <w:lang w:val="en-GB"/>
        </w:rPr>
        <w:t xml:space="preserve"> with minimal tension, in order to allow for optimal blood clot stabilisation. The advantages of Cortical Lamina are multiple: the transformation into the new cortical plate in 6-8 month, the stabilization of the graft in a very short time. Suggested re-entry time is at 6 months, while the full resorption takes place in around 12 months. After a brief summary of the scientific evidence behind augmentation procedures, </w:t>
      </w:r>
      <w:proofErr w:type="gramStart"/>
      <w:r>
        <w:rPr>
          <w:rFonts w:ascii="Verdana" w:hAnsi="Verdana"/>
          <w:color w:val="000000" w:themeColor="text1"/>
          <w:sz w:val="18"/>
          <w:szCs w:val="18"/>
          <w:lang w:val="en-GB"/>
        </w:rPr>
        <w:t>long term</w:t>
      </w:r>
      <w:proofErr w:type="gramEnd"/>
      <w:r>
        <w:rPr>
          <w:rFonts w:ascii="Verdana" w:hAnsi="Verdana"/>
          <w:color w:val="000000" w:themeColor="text1"/>
          <w:sz w:val="18"/>
          <w:szCs w:val="18"/>
          <w:lang w:val="en-GB"/>
        </w:rPr>
        <w:t xml:space="preserve"> results will be showed</w:t>
      </w:r>
    </w:p>
    <w:sectPr w:rsidR="00363FE1" w:rsidRPr="009278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866"/>
    <w:rsid w:val="00143467"/>
    <w:rsid w:val="00363FE1"/>
    <w:rsid w:val="0092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85A892-9A27-4FF5-9081-E3C69F888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8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2020-12-01T14:10:00Z</dcterms:created>
  <dcterms:modified xsi:type="dcterms:W3CDTF">2020-12-01T14:38:00Z</dcterms:modified>
</cp:coreProperties>
</file>