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711" w:rsidRDefault="00E00711" w:rsidP="00E00711">
      <w:pPr>
        <w:pStyle w:val="BodyText"/>
        <w:spacing w:before="73" w:line="276" w:lineRule="auto"/>
        <w:ind w:left="100" w:right="5987"/>
        <w:rPr>
          <w:rFonts w:ascii="AGaramondPro-Regular" w:eastAsiaTheme="minorHAnsi" w:hAnsi="AGaramondPro-Regular" w:cs="AGaramondPro-Regular"/>
          <w:color w:val="009AE6"/>
          <w:sz w:val="32"/>
          <w:szCs w:val="32"/>
          <w:lang w:val="en-IN" w:bidi="hi-IN"/>
        </w:rPr>
      </w:pPr>
      <w:r>
        <w:rPr>
          <w:rFonts w:ascii="AGaramondPro-Regular" w:eastAsiaTheme="minorHAnsi" w:hAnsi="AGaramondPro-Regular" w:cs="AGaramondPro-Regular"/>
          <w:color w:val="009AE6"/>
          <w:sz w:val="32"/>
          <w:szCs w:val="32"/>
          <w:lang w:val="en-IN" w:bidi="hi-IN"/>
        </w:rPr>
        <w:t xml:space="preserve">Aligners: The Science of Clear </w:t>
      </w:r>
      <w:r w:rsidRPr="00E00711">
        <w:rPr>
          <w:rFonts w:ascii="AGaramondPro-Regular" w:eastAsiaTheme="minorHAnsi" w:hAnsi="AGaramondPro-Regular" w:cs="AGaramondPro-Regular"/>
          <w:color w:val="009AE6"/>
          <w:sz w:val="32"/>
          <w:szCs w:val="32"/>
          <w:lang w:val="en-IN" w:bidi="hi-IN"/>
        </w:rPr>
        <w:t>Orthodontics</w:t>
      </w:r>
    </w:p>
    <w:p w:rsidR="00E00711" w:rsidRDefault="00E00711" w:rsidP="00E00711">
      <w:pPr>
        <w:pStyle w:val="BodyText"/>
        <w:spacing w:before="73" w:line="276" w:lineRule="auto"/>
        <w:ind w:left="100" w:right="5987"/>
        <w:rPr>
          <w:rFonts w:ascii="Arial"/>
        </w:rPr>
      </w:pPr>
      <w:r>
        <w:rPr>
          <w:rFonts w:ascii="Arial"/>
        </w:rPr>
        <w:t>Sunegha Kundal</w:t>
      </w:r>
      <w:r w:rsidR="005973B9">
        <w:rPr>
          <w:rFonts w:ascii="Arial"/>
        </w:rPr>
        <w:t xml:space="preserve">, </w:t>
      </w:r>
      <w:r>
        <w:rPr>
          <w:rFonts w:ascii="Arial"/>
        </w:rPr>
        <w:t>MDS, PGIMS, Rohtak, India</w:t>
      </w:r>
    </w:p>
    <w:p w:rsidR="00AE3E37" w:rsidRDefault="00AE3E37" w:rsidP="00E00711">
      <w:pPr>
        <w:pStyle w:val="BodyText"/>
        <w:spacing w:before="73" w:line="276" w:lineRule="auto"/>
        <w:ind w:left="100" w:right="5987"/>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00711" w:rsidRDefault="00E00711" w:rsidP="00E00711">
      <w:pPr>
        <w:widowControl/>
        <w:autoSpaceDE w:val="0"/>
        <w:autoSpaceDN w:val="0"/>
        <w:adjustRightInd w:val="0"/>
        <w:rPr>
          <w:rFonts w:asciiTheme="minorHAnsi" w:eastAsia="ArialMT" w:hAnsiTheme="minorHAnsi" w:cs="ArialMT"/>
          <w:sz w:val="18"/>
          <w:szCs w:val="18"/>
          <w:lang w:val="en-IN" w:bidi="hi-IN"/>
        </w:rPr>
      </w:pPr>
    </w:p>
    <w:p w:rsidR="00AE3E37" w:rsidRPr="00C01287" w:rsidRDefault="00C01287" w:rsidP="00C01287">
      <w:pPr>
        <w:spacing w:before="89" w:after="240"/>
        <w:jc w:val="both"/>
        <w:rPr>
          <w:rFonts w:ascii="Times New Roman" w:hAnsi="Times New Roman" w:cs="Times New Roman"/>
          <w:b/>
          <w:bCs/>
          <w:color w:val="000000" w:themeColor="text1"/>
          <w:sz w:val="24"/>
          <w:szCs w:val="24"/>
        </w:rPr>
      </w:pPr>
      <w:r w:rsidRPr="00862322">
        <w:rPr>
          <w:rFonts w:ascii="Times New Roman" w:hAnsi="Times New Roman" w:cs="Times New Roman"/>
          <w:color w:val="000000" w:themeColor="text1"/>
          <w:sz w:val="24"/>
          <w:szCs w:val="24"/>
        </w:rPr>
        <w:t>Orthodontic treatment has long been synonymous to a mouth full of “unattractive” wires. The stigma extended beyond outer appearance, with people perceiving those with metal braces to have a lower intellect</w:t>
      </w:r>
      <w:r w:rsidRPr="00FA0521">
        <w:rPr>
          <w:rFonts w:ascii="Times New Roman" w:hAnsi="Times New Roman" w:cs="Times New Roman"/>
          <w:color w:val="000000" w:themeColor="text1"/>
          <w:sz w:val="24"/>
          <w:szCs w:val="24"/>
        </w:rPr>
        <w:t>.</w:t>
      </w:r>
      <w:r w:rsidRPr="00862322">
        <w:rPr>
          <w:rFonts w:ascii="Times New Roman" w:hAnsi="Times New Roman" w:cs="Times New Roman"/>
          <w:color w:val="000000" w:themeColor="text1"/>
          <w:sz w:val="24"/>
          <w:szCs w:val="24"/>
        </w:rPr>
        <w:t xml:space="preserve"> Introduction of clear aligners thus came as a respite to the orthodontic patient</w:t>
      </w:r>
      <w:r>
        <w:rPr>
          <w:rFonts w:ascii="Times New Roman" w:hAnsi="Times New Roman" w:cs="Times New Roman"/>
          <w:color w:val="000000" w:themeColor="text1"/>
          <w:sz w:val="24"/>
          <w:szCs w:val="24"/>
        </w:rPr>
        <w:t>s</w:t>
      </w:r>
      <w:r w:rsidRPr="00862322">
        <w:rPr>
          <w:rFonts w:ascii="Times New Roman" w:hAnsi="Times New Roman" w:cs="Times New Roman"/>
          <w:color w:val="000000" w:themeColor="text1"/>
          <w:sz w:val="24"/>
          <w:szCs w:val="24"/>
        </w:rPr>
        <w:t>, for their aesthetic superiority made them more attractive to metal and ceramic brackets</w:t>
      </w:r>
      <w:r w:rsidRPr="00FA0521">
        <w:rPr>
          <w:rFonts w:ascii="Times New Roman" w:hAnsi="Times New Roman" w:cs="Times New Roman"/>
          <w:color w:val="000000" w:themeColor="text1"/>
          <w:sz w:val="24"/>
          <w:szCs w:val="24"/>
        </w:rPr>
        <w:t>.</w:t>
      </w:r>
      <w:r w:rsidRPr="007C4CBC">
        <w:rPr>
          <w:rFonts w:ascii="Times New Roman" w:hAnsi="Times New Roman" w:cs="Times New Roman"/>
          <w:color w:val="000000" w:themeColor="text1"/>
          <w:sz w:val="24"/>
          <w:szCs w:val="24"/>
          <w:vertAlign w:val="superscript"/>
        </w:rPr>
        <w:t xml:space="preserve"> </w:t>
      </w:r>
      <w:r w:rsidRPr="00862322">
        <w:rPr>
          <w:rFonts w:ascii="Times New Roman" w:hAnsi="Times New Roman" w:cs="Times New Roman"/>
          <w:color w:val="000000" w:themeColor="text1"/>
          <w:sz w:val="24"/>
          <w:szCs w:val="24"/>
        </w:rPr>
        <w:t>Since their inception, clear aligners have undergone multitude of advancements that aimed to make the orthodontic treatment less conspicuous. Used for moving teeth for alignment and creating healthy and beautiful smiles, like many other orthodontic appliances, clear aligners have proven to be a much more comfortable and aesthetic alternative. These are the active clear plastic trays fitting snugly onto the teeth, each worn for 2 weeks on an average, and changed sequentially to accomplish the incorporated tooth movements. From being used for mild malocclusion cases at the outset to treating vast variety of cases contemporarily, from minimal crowding to bicuspid extractions, clear aligners have come a long way and still continue to evolve.</w:t>
      </w:r>
      <w:r>
        <w:rPr>
          <w:rFonts w:ascii="Times New Roman" w:hAnsi="Times New Roman" w:cs="Times New Roman"/>
          <w:b/>
          <w:bCs/>
          <w:color w:val="000000" w:themeColor="text1"/>
          <w:sz w:val="24"/>
          <w:szCs w:val="24"/>
        </w:rPr>
        <w:t xml:space="preserve"> </w:t>
      </w:r>
      <w:r w:rsidRPr="00862322">
        <w:rPr>
          <w:rFonts w:ascii="Times New Roman" w:hAnsi="Times New Roman" w:cs="Times New Roman"/>
          <w:color w:val="000000" w:themeColor="text1"/>
          <w:sz w:val="24"/>
          <w:szCs w:val="24"/>
        </w:rPr>
        <w:t xml:space="preserve">The treatment success relies on clinicians’ </w:t>
      </w:r>
      <w:r w:rsidRPr="00862322">
        <w:rPr>
          <w:rFonts w:ascii="Times New Roman" w:hAnsi="Times New Roman" w:cs="Times New Roman"/>
          <w:color w:val="000000" w:themeColor="text1"/>
          <w:sz w:val="24"/>
          <w:szCs w:val="24"/>
        </w:rPr>
        <w:lastRenderedPageBreak/>
        <w:t>knowledge and experience with the aligners, proper case selection and the patients’ adherence to the treatment protocols. The ar</w:t>
      </w:r>
      <w:r>
        <w:rPr>
          <w:rFonts w:ascii="Times New Roman" w:hAnsi="Times New Roman" w:cs="Times New Roman"/>
          <w:color w:val="000000" w:themeColor="text1"/>
          <w:sz w:val="24"/>
          <w:szCs w:val="24"/>
        </w:rPr>
        <w:t>ea of exploration of this poster</w:t>
      </w:r>
      <w:r w:rsidRPr="00862322">
        <w:rPr>
          <w:rFonts w:ascii="Times New Roman" w:hAnsi="Times New Roman" w:cs="Times New Roman"/>
          <w:color w:val="000000" w:themeColor="text1"/>
          <w:sz w:val="24"/>
          <w:szCs w:val="24"/>
        </w:rPr>
        <w:t xml:space="preserve"> is limited to providing an overview of the clear aligner treatment including benefits and limitations, principles and biomechanics of clear aligner treatment, materials used</w:t>
      </w:r>
      <w:r>
        <w:rPr>
          <w:rFonts w:ascii="Times New Roman" w:hAnsi="Times New Roman" w:cs="Times New Roman"/>
          <w:color w:val="000000" w:themeColor="text1"/>
          <w:sz w:val="24"/>
          <w:szCs w:val="24"/>
        </w:rPr>
        <w:t xml:space="preserve">, </w:t>
      </w:r>
      <w:r w:rsidRPr="00862322">
        <w:rPr>
          <w:rFonts w:ascii="Times New Roman" w:hAnsi="Times New Roman" w:cs="Times New Roman"/>
          <w:color w:val="000000" w:themeColor="text1"/>
          <w:sz w:val="24"/>
          <w:szCs w:val="24"/>
        </w:rPr>
        <w:t>methods of fabrication, and wear time.</w:t>
      </w:r>
    </w:p>
    <w:p w:rsidR="00AE3E37" w:rsidRDefault="00AE3E37" w:rsidP="00C0128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01287" w:rsidRPr="00E33285" w:rsidRDefault="00C01287" w:rsidP="00C01287">
      <w:pPr>
        <w:pStyle w:val="ListParagraph"/>
        <w:widowControl/>
        <w:numPr>
          <w:ilvl w:val="0"/>
          <w:numId w:val="5"/>
        </w:numPr>
        <w:spacing w:before="0" w:line="240" w:lineRule="auto"/>
        <w:contextualSpacing/>
        <w:rPr>
          <w:rStyle w:val="A13"/>
          <w:rFonts w:ascii="Times New Roman" w:hAnsi="Times New Roman" w:cs="Times New Roman"/>
          <w:color w:val="000000" w:themeColor="text1"/>
          <w:sz w:val="20"/>
          <w:szCs w:val="20"/>
        </w:rPr>
      </w:pPr>
      <w:r w:rsidRPr="00E33285">
        <w:rPr>
          <w:rStyle w:val="A9"/>
          <w:rFonts w:ascii="Times New Roman" w:hAnsi="Times New Roman" w:cs="Times New Roman"/>
          <w:color w:val="000000" w:themeColor="text1"/>
          <w:sz w:val="20"/>
          <w:szCs w:val="20"/>
        </w:rPr>
        <w:t>Tamer İ, Öztaş E, Marşan G (2019) Orthodontic Treatment with Clear Aligners and The Scientific Reality Behind Their Marketing: A Litera</w:t>
      </w:r>
      <w:r w:rsidRPr="00E33285">
        <w:rPr>
          <w:rStyle w:val="A9"/>
          <w:rFonts w:ascii="Times New Roman" w:hAnsi="Times New Roman" w:cs="Times New Roman"/>
          <w:color w:val="000000" w:themeColor="text1"/>
          <w:sz w:val="20"/>
          <w:szCs w:val="20"/>
        </w:rPr>
        <w:softHyphen/>
        <w:t>ture Review. Turk J Orthod. 32(4): 241-6.</w:t>
      </w:r>
    </w:p>
    <w:p w:rsidR="00C01287" w:rsidRPr="00E33285" w:rsidRDefault="00C01287" w:rsidP="00C01287">
      <w:pPr>
        <w:pStyle w:val="ListParagraph"/>
        <w:widowControl/>
        <w:numPr>
          <w:ilvl w:val="0"/>
          <w:numId w:val="5"/>
        </w:numPr>
        <w:spacing w:before="0" w:line="240" w:lineRule="auto"/>
        <w:contextualSpacing/>
        <w:rPr>
          <w:sz w:val="18"/>
          <w:szCs w:val="18"/>
        </w:rPr>
      </w:pPr>
      <w:r w:rsidRPr="00E33285">
        <w:rPr>
          <w:rStyle w:val="Emphasis"/>
          <w:i w:val="0"/>
          <w:iCs w:val="0"/>
          <w:color w:val="000000" w:themeColor="text1"/>
          <w:sz w:val="20"/>
          <w:szCs w:val="20"/>
          <w:shd w:val="clear" w:color="auto" w:fill="FFFFFF"/>
        </w:rPr>
        <w:t xml:space="preserve">Shotell MD. (2020) </w:t>
      </w:r>
      <w:hyperlink r:id="rId9" w:history="1">
        <w:r w:rsidRPr="00E33285">
          <w:rPr>
            <w:rStyle w:val="InternetLink"/>
            <w:rFonts w:ascii="Times New Roman" w:hAnsi="Times New Roman" w:cs="Times New Roman"/>
            <w:color w:val="000000" w:themeColor="text1"/>
            <w:sz w:val="20"/>
            <w:szCs w:val="20"/>
            <w:u w:val="none"/>
          </w:rPr>
          <w:t>The Proliferation of Clear Aligner Orthodontics: Workflows, Materials, and Designs</w:t>
        </w:r>
      </w:hyperlink>
      <w:r w:rsidRPr="00E33285">
        <w:rPr>
          <w:rFonts w:ascii="Times New Roman" w:hAnsi="Times New Roman" w:cs="Times New Roman"/>
          <w:color w:val="000000" w:themeColor="text1"/>
          <w:sz w:val="20"/>
          <w:szCs w:val="20"/>
        </w:rPr>
        <w:t>. Copendium. 41(6): 340-41.</w:t>
      </w:r>
    </w:p>
    <w:p w:rsidR="00C01287" w:rsidRPr="00E33285" w:rsidRDefault="00C01287" w:rsidP="00C01287">
      <w:pPr>
        <w:pStyle w:val="ListParagraph"/>
        <w:widowControl/>
        <w:numPr>
          <w:ilvl w:val="0"/>
          <w:numId w:val="5"/>
        </w:numPr>
        <w:spacing w:before="0" w:line="240" w:lineRule="auto"/>
        <w:contextualSpacing/>
        <w:rPr>
          <w:rFonts w:ascii="Times New Roman" w:hAnsi="Times New Roman" w:cs="Times New Roman"/>
          <w:color w:val="000000" w:themeColor="text1"/>
          <w:sz w:val="20"/>
          <w:szCs w:val="20"/>
        </w:rPr>
      </w:pPr>
      <w:r w:rsidRPr="00E33285">
        <w:rPr>
          <w:rFonts w:ascii="Times New Roman" w:hAnsi="Times New Roman" w:cs="Times New Roman"/>
          <w:color w:val="000000" w:themeColor="text1"/>
          <w:sz w:val="20"/>
          <w:szCs w:val="20"/>
        </w:rPr>
        <w:t>Kohda N, Iijima M, Muguruma T, Brantley WA, Ahluwalia KS, Mizoguchi I (2013) Effects of mechanical properties of thermoplastic materials on the initial force of thermoplastic appliances. Angle Orthod. 83(3):476-483.</w:t>
      </w:r>
    </w:p>
    <w:p w:rsidR="00C01287" w:rsidRPr="00E33285" w:rsidRDefault="00C01287" w:rsidP="00C01287">
      <w:pPr>
        <w:pStyle w:val="ListParagraph"/>
        <w:widowControl/>
        <w:numPr>
          <w:ilvl w:val="0"/>
          <w:numId w:val="5"/>
        </w:numPr>
        <w:spacing w:before="0" w:line="240" w:lineRule="auto"/>
        <w:contextualSpacing/>
        <w:rPr>
          <w:rFonts w:ascii="Times New Roman" w:hAnsi="Times New Roman" w:cs="Times New Roman"/>
          <w:color w:val="000000" w:themeColor="text1"/>
          <w:sz w:val="20"/>
          <w:szCs w:val="20"/>
          <w:highlight w:val="white"/>
        </w:rPr>
      </w:pPr>
      <w:r w:rsidRPr="00E33285">
        <w:rPr>
          <w:rFonts w:ascii="Times New Roman" w:hAnsi="Times New Roman" w:cs="Times New Roman"/>
          <w:color w:val="000000" w:themeColor="text1"/>
          <w:sz w:val="20"/>
          <w:szCs w:val="20"/>
          <w:shd w:val="clear" w:color="auto" w:fill="FFFFFF"/>
        </w:rPr>
        <w:t>Cowley DP, Mah J, O'Toole B (2012) The effect of gingival-margin design on the retention of thermoformed aligners. J Clin Orthod.  46(11):697-705.</w:t>
      </w:r>
    </w:p>
    <w:p w:rsidR="00C01287" w:rsidRPr="00E33285" w:rsidRDefault="00C01287" w:rsidP="00C01287">
      <w:pPr>
        <w:pStyle w:val="ListParagraph"/>
        <w:widowControl/>
        <w:numPr>
          <w:ilvl w:val="0"/>
          <w:numId w:val="5"/>
        </w:numPr>
        <w:spacing w:before="0" w:line="240" w:lineRule="auto"/>
        <w:contextualSpacing/>
        <w:rPr>
          <w:rFonts w:ascii="Times New Roman" w:hAnsi="Times New Roman" w:cs="Times New Roman"/>
          <w:color w:val="000000" w:themeColor="text1"/>
          <w:sz w:val="20"/>
          <w:szCs w:val="20"/>
          <w:highlight w:val="white"/>
        </w:rPr>
      </w:pPr>
      <w:r w:rsidRPr="00E33285">
        <w:rPr>
          <w:rFonts w:ascii="Times New Roman" w:eastAsia="Lato-Regular" w:hAnsi="Times New Roman" w:cs="Times New Roman"/>
          <w:color w:val="000000" w:themeColor="text1"/>
          <w:sz w:val="20"/>
          <w:szCs w:val="20"/>
        </w:rPr>
        <w:t>Robertson L, Kaur H, Fagundes NCF, Romanyk D, Major P, Flores Mir C (2020) Effectiveness of clear aligner therapy for orthodontic treatment: A systematic review. Orthod Craniofac Res 23(2):133–142.</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747DA">
      <w:pPr>
        <w:pStyle w:val="BodyText"/>
        <w:spacing w:line="40" w:lineRule="exact"/>
        <w:ind w:left="2202"/>
        <w:rPr>
          <w:rFonts w:ascii="Calibri"/>
          <w:sz w:val="4"/>
        </w:rPr>
      </w:pPr>
      <w:r>
        <w:rPr>
          <w:rFonts w:ascii="Calibri"/>
          <w:noProof/>
          <w:sz w:val="4"/>
          <w:lang w:val="en-IN" w:eastAsia="en-IN"/>
        </w:rPr>
      </w:r>
      <w:r w:rsidRPr="00D747D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22A07" w:rsidP="00404E5B">
      <w:pPr>
        <w:spacing w:before="92"/>
        <w:ind w:right="4234"/>
        <w:rPr>
          <w:rFonts w:ascii="Arial"/>
        </w:rPr>
      </w:pPr>
      <w:r>
        <w:rPr>
          <w:noProof/>
          <w:lang w:val="en-IN" w:eastAsia="en-IN" w:bidi="hi-IN"/>
        </w:rPr>
        <w:drawing>
          <wp:inline distT="0" distB="0" distL="0" distR="0">
            <wp:extent cx="609016" cy="612475"/>
            <wp:effectExtent l="19050" t="0" r="584" b="0"/>
            <wp:docPr id="2" name="Picture 2" descr="C:\Users\ACER\Downloads\IMG_7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IMG_7684.JPG"/>
                    <pic:cNvPicPr>
                      <a:picLocks noChangeAspect="1" noChangeArrowheads="1"/>
                    </pic:cNvPicPr>
                  </pic:nvPicPr>
                  <pic:blipFill>
                    <a:blip r:embed="rId10" cstate="print"/>
                    <a:srcRect/>
                    <a:stretch>
                      <a:fillRect/>
                    </a:stretch>
                  </pic:blipFill>
                  <pic:spPr bwMode="auto">
                    <a:xfrm>
                      <a:off x="0" y="0"/>
                      <a:ext cx="609071" cy="612531"/>
                    </a:xfrm>
                    <a:prstGeom prst="rect">
                      <a:avLst/>
                    </a:prstGeom>
                    <a:noFill/>
                    <a:ln w="9525">
                      <a:noFill/>
                      <a:miter lim="800000"/>
                      <a:headEnd/>
                      <a:tailEnd/>
                    </a:ln>
                  </pic:spPr>
                </pic:pic>
              </a:graphicData>
            </a:graphic>
          </wp:inline>
        </w:drawing>
      </w:r>
      <w:r>
        <w:rPr>
          <w:noProof/>
          <w:lang w:val="en-IN" w:eastAsia="en-IN" w:bidi="hi-IN"/>
        </w:rPr>
        <w:t xml:space="preserve"> </w:t>
      </w:r>
      <w:r w:rsidR="00A9710C">
        <w:rPr>
          <w:rFonts w:ascii="Arial"/>
          <w:color w:val="BF5A14"/>
        </w:rPr>
        <w:t>Biography</w:t>
      </w:r>
      <w:r w:rsidR="00404E5B">
        <w:rPr>
          <w:rFonts w:ascii="Arial"/>
          <w:color w:val="BF5A14"/>
        </w:rPr>
        <w:t xml:space="preserve"> (150 word limit)</w:t>
      </w:r>
    </w:p>
    <w:p w:rsidR="00E33285" w:rsidRDefault="00E33285">
      <w:pPr>
        <w:spacing w:before="41" w:line="154" w:lineRule="exact"/>
        <w:ind w:left="213" w:right="231"/>
        <w:jc w:val="both"/>
        <w:rPr>
          <w:rFonts w:ascii="Arial"/>
          <w:sz w:val="14"/>
        </w:rPr>
      </w:pPr>
      <w:r>
        <w:rPr>
          <w:rFonts w:ascii="Arial"/>
          <w:sz w:val="14"/>
        </w:rPr>
        <w:t>Sunegha Kundal specialized in orthodontic dental treatment. Her interests and expertise lie in educating the patients about the significance of oral health, delivering adequate dental services aiming towards providing healthy and happy smiles to the patients and building their confidence. She has gained experience in both clinical and organizational setup. She drives energy from accepting new challenges and learning &amp; growing through them.</w:t>
      </w:r>
    </w:p>
    <w:p w:rsidR="00E33285" w:rsidRDefault="00E33285">
      <w:pPr>
        <w:spacing w:before="41" w:line="154" w:lineRule="exact"/>
        <w:ind w:left="213" w:right="231"/>
        <w:jc w:val="both"/>
        <w:rPr>
          <w:rFonts w:ascii="Arial"/>
          <w:sz w:val="14"/>
        </w:rPr>
      </w:pPr>
    </w:p>
    <w:p w:rsidR="00E33285" w:rsidRDefault="00E33285">
      <w:pPr>
        <w:spacing w:before="41" w:line="154" w:lineRule="exact"/>
        <w:ind w:left="213" w:right="231"/>
        <w:jc w:val="both"/>
        <w:rPr>
          <w:rFonts w:ascii="Arial"/>
          <w:sz w:val="14"/>
        </w:rPr>
      </w:pPr>
    </w:p>
    <w:p w:rsidR="00E33285" w:rsidRDefault="00E33285">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022A07" w:rsidRPr="00CB0B06">
          <w:rPr>
            <w:rStyle w:val="Hyperlink"/>
            <w:rFonts w:ascii="Arial"/>
            <w:sz w:val="14"/>
          </w:rPr>
          <w:t>suneghakundal@gmail.com</w:t>
        </w:r>
      </w:hyperlink>
    </w:p>
    <w:p w:rsidR="00AE3E37" w:rsidRDefault="00D747DA">
      <w:pPr>
        <w:pStyle w:val="BodyText"/>
        <w:spacing w:before="2"/>
        <w:rPr>
          <w:rFonts w:ascii="Arial"/>
          <w:sz w:val="19"/>
        </w:rPr>
      </w:pPr>
      <w:r w:rsidRPr="00D747D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E7B" w:rsidRDefault="00AA1E7B">
      <w:r>
        <w:separator/>
      </w:r>
    </w:p>
  </w:endnote>
  <w:endnote w:type="continuationSeparator" w:id="1">
    <w:p w:rsidR="00AA1E7B" w:rsidRDefault="00AA1E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3" w:usb1="08070000" w:usb2="00000010" w:usb3="00000000" w:csb0="00020001" w:csb1="00000000"/>
  </w:font>
  <w:font w:name="Lato-Regular">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747DA">
    <w:pPr>
      <w:pStyle w:val="BodyText"/>
      <w:spacing w:line="14" w:lineRule="auto"/>
      <w:rPr>
        <w:sz w:val="20"/>
      </w:rPr>
    </w:pPr>
    <w:r w:rsidRPr="00D747D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747D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747D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E7B" w:rsidRDefault="00AA1E7B">
      <w:r>
        <w:separator/>
      </w:r>
    </w:p>
  </w:footnote>
  <w:footnote w:type="continuationSeparator" w:id="1">
    <w:p w:rsidR="00AA1E7B" w:rsidRDefault="00AA1E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747DA">
    <w:pPr>
      <w:pStyle w:val="BodyText"/>
      <w:spacing w:line="14" w:lineRule="auto"/>
      <w:rPr>
        <w:sz w:val="20"/>
      </w:rPr>
    </w:pPr>
    <w:r w:rsidRPr="00D747D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747D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A7048"/>
    <w:multiLevelType w:val="multilevel"/>
    <w:tmpl w:val="AC9A17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22A07"/>
    <w:rsid w:val="000E2911"/>
    <w:rsid w:val="001263DF"/>
    <w:rsid w:val="002455EC"/>
    <w:rsid w:val="00292ED9"/>
    <w:rsid w:val="00404E5B"/>
    <w:rsid w:val="00414F7B"/>
    <w:rsid w:val="004355DC"/>
    <w:rsid w:val="004749B4"/>
    <w:rsid w:val="00494130"/>
    <w:rsid w:val="004F3523"/>
    <w:rsid w:val="005573AB"/>
    <w:rsid w:val="005973B9"/>
    <w:rsid w:val="005B3A56"/>
    <w:rsid w:val="006060CE"/>
    <w:rsid w:val="0063497F"/>
    <w:rsid w:val="00873DF0"/>
    <w:rsid w:val="008756E6"/>
    <w:rsid w:val="008A08B6"/>
    <w:rsid w:val="00964900"/>
    <w:rsid w:val="009B2D44"/>
    <w:rsid w:val="00A07E82"/>
    <w:rsid w:val="00A9710C"/>
    <w:rsid w:val="00AA1E7B"/>
    <w:rsid w:val="00AE3E37"/>
    <w:rsid w:val="00B21A57"/>
    <w:rsid w:val="00C01287"/>
    <w:rsid w:val="00C33602"/>
    <w:rsid w:val="00CD6F55"/>
    <w:rsid w:val="00D747DA"/>
    <w:rsid w:val="00DE3104"/>
    <w:rsid w:val="00DF52C5"/>
    <w:rsid w:val="00E00711"/>
    <w:rsid w:val="00E26B10"/>
    <w:rsid w:val="00E3328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13">
    <w:name w:val="A13"/>
    <w:uiPriority w:val="99"/>
    <w:qFormat/>
    <w:rsid w:val="00C01287"/>
    <w:rPr>
      <w:rFonts w:cs="Myriad Pro"/>
      <w:color w:val="000000"/>
    </w:rPr>
  </w:style>
  <w:style w:type="character" w:customStyle="1" w:styleId="A9">
    <w:name w:val="A9"/>
    <w:uiPriority w:val="99"/>
    <w:qFormat/>
    <w:rsid w:val="00C01287"/>
    <w:rPr>
      <w:rFonts w:cs="Myriad Pro"/>
      <w:color w:val="000000"/>
      <w:sz w:val="14"/>
      <w:szCs w:val="14"/>
    </w:rPr>
  </w:style>
  <w:style w:type="character" w:styleId="Emphasis">
    <w:name w:val="Emphasis"/>
    <w:basedOn w:val="DefaultParagraphFont"/>
    <w:uiPriority w:val="20"/>
    <w:qFormat/>
    <w:rsid w:val="00C01287"/>
    <w:rPr>
      <w:i/>
      <w:iCs/>
    </w:rPr>
  </w:style>
  <w:style w:type="character" w:customStyle="1" w:styleId="InternetLink">
    <w:name w:val="Internet Link"/>
    <w:basedOn w:val="DefaultParagraphFont"/>
    <w:uiPriority w:val="99"/>
    <w:unhideWhenUsed/>
    <w:rsid w:val="00C012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0119275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6821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neghakundal@g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aegisdentalnetwork.com/cced/2020/06/the-proliferation-of-clear-aligner-orthodontics-workflows-materials-and-designs"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2</cp:revision>
  <dcterms:created xsi:type="dcterms:W3CDTF">2020-08-08T06:57:00Z</dcterms:created>
  <dcterms:modified xsi:type="dcterms:W3CDTF">2020-08-08T06:57:00Z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