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0A5" w:rsidRPr="00B500A5" w:rsidRDefault="00B500A5" w:rsidP="00B500A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n-US"/>
        </w:rPr>
      </w:pPr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Analysis of the sequence of the establishment of </w:t>
      </w:r>
      <w:proofErr w:type="spellStart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>Porphyromona</w:t>
      </w:r>
      <w:proofErr w:type="spellEnd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 </w:t>
      </w:r>
      <w:proofErr w:type="spellStart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>gingivalis</w:t>
      </w:r>
      <w:proofErr w:type="spellEnd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 </w:t>
      </w:r>
      <w:proofErr w:type="spellStart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>Aggregatibacter</w:t>
      </w:r>
      <w:proofErr w:type="spellEnd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 </w:t>
      </w:r>
      <w:proofErr w:type="spellStart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>actinomycetemcomitans</w:t>
      </w:r>
      <w:proofErr w:type="spellEnd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, </w:t>
      </w:r>
      <w:proofErr w:type="spellStart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>Tannerella</w:t>
      </w:r>
      <w:proofErr w:type="spellEnd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 Forsythia and </w:t>
      </w:r>
      <w:proofErr w:type="spellStart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>Provetella</w:t>
      </w:r>
      <w:proofErr w:type="spellEnd"/>
      <w:r w:rsidRPr="00B500A5">
        <w:rPr>
          <w:rFonts w:ascii="Arial" w:eastAsia="Times New Roman" w:hAnsi="Arial" w:cs="Arial"/>
          <w:color w:val="222222"/>
          <w:sz w:val="28"/>
          <w:szCs w:val="28"/>
          <w:lang w:val="en"/>
        </w:rPr>
        <w:t xml:space="preserve"> Intermedia in the gingival sulcus of patients that come to clinical orthodontics treatment of the Autonomous University of Aguascalientes Mexico</w:t>
      </w:r>
    </w:p>
    <w:p w:rsidR="00B500A5" w:rsidRPr="002C5C27" w:rsidRDefault="00B500A5" w:rsidP="00B500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en-US"/>
        </w:rPr>
      </w:pPr>
    </w:p>
    <w:p w:rsidR="00B500A5" w:rsidRPr="002C5C27" w:rsidRDefault="00B500A5" w:rsidP="00B50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  <w:sz w:val="28"/>
          <w:szCs w:val="20"/>
          <w:highlight w:val="cyan"/>
          <w:lang w:val="en-US"/>
        </w:rPr>
      </w:pPr>
    </w:p>
    <w:p w:rsidR="00B500A5" w:rsidRPr="00B500A5" w:rsidRDefault="00B500A5" w:rsidP="00B500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  <w:sz w:val="28"/>
          <w:szCs w:val="20"/>
          <w:lang w:val="en-US"/>
        </w:rPr>
      </w:pPr>
      <w:r w:rsidRPr="00B500A5">
        <w:rPr>
          <w:rFonts w:ascii="Arial" w:hAnsi="Arial" w:cs="Arial"/>
          <w:b/>
          <w:color w:val="FF0000"/>
          <w:sz w:val="28"/>
          <w:szCs w:val="20"/>
          <w:highlight w:val="cyan"/>
          <w:lang w:val="en-US"/>
        </w:rPr>
        <w:t>ABSTRACT</w:t>
      </w:r>
    </w:p>
    <w:p w:rsidR="00B500A5" w:rsidRPr="003C073A" w:rsidRDefault="00B500A5" w:rsidP="00B500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Orthodontic </w:t>
      </w:r>
      <w:r w:rsidRPr="003C073A">
        <w:rPr>
          <w:rFonts w:ascii="Arial" w:hAnsi="Arial" w:cs="Arial"/>
          <w:sz w:val="28"/>
          <w:szCs w:val="28"/>
          <w:lang w:val="en-US"/>
        </w:rPr>
        <w:t>treatment is currently the prefe</w:t>
      </w:r>
      <w:r>
        <w:rPr>
          <w:rFonts w:ascii="Arial" w:hAnsi="Arial" w:cs="Arial"/>
          <w:sz w:val="28"/>
          <w:szCs w:val="28"/>
          <w:lang w:val="en-US"/>
        </w:rPr>
        <w:t xml:space="preserve">rred and common method to treat patient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maloclusions</w:t>
      </w:r>
      <w:proofErr w:type="spellEnd"/>
      <w:r w:rsidRPr="003C073A">
        <w:rPr>
          <w:rFonts w:ascii="Arial" w:hAnsi="Arial" w:cs="Arial"/>
          <w:sz w:val="28"/>
          <w:szCs w:val="28"/>
          <w:lang w:val="en-US"/>
        </w:rPr>
        <w:t xml:space="preserve">, but it also holds potentials </w:t>
      </w:r>
      <w:r w:rsidR="00F4405E">
        <w:rPr>
          <w:rFonts w:ascii="Arial" w:hAnsi="Arial" w:cs="Arial"/>
          <w:sz w:val="28"/>
          <w:szCs w:val="28"/>
          <w:lang w:val="en-US"/>
        </w:rPr>
        <w:t>complications</w:t>
      </w:r>
      <w:r>
        <w:rPr>
          <w:rFonts w:ascii="Arial" w:hAnsi="Arial" w:cs="Arial"/>
          <w:sz w:val="28"/>
          <w:szCs w:val="28"/>
          <w:lang w:val="en-US"/>
        </w:rPr>
        <w:t xml:space="preserve"> over</w:t>
      </w:r>
      <w:r w:rsidRPr="003C073A">
        <w:rPr>
          <w:rFonts w:ascii="Arial" w:hAnsi="Arial" w:cs="Arial"/>
          <w:sz w:val="28"/>
          <w:szCs w:val="28"/>
          <w:lang w:val="en-US"/>
        </w:rPr>
        <w:t xml:space="preserve"> teeth and periodontal tissues</w:t>
      </w:r>
      <w:r>
        <w:rPr>
          <w:rFonts w:ascii="Arial" w:hAnsi="Arial" w:cs="Arial"/>
          <w:sz w:val="28"/>
          <w:szCs w:val="28"/>
          <w:lang w:val="en-US"/>
        </w:rPr>
        <w:t>.</w:t>
      </w:r>
      <w:r>
        <w:rPr>
          <w:rFonts w:ascii="Arial" w:hAnsi="Arial" w:cs="Arial"/>
          <w:sz w:val="28"/>
          <w:szCs w:val="20"/>
          <w:lang w:val="en-US"/>
        </w:rPr>
        <w:t xml:space="preserve"> Since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Porphyromonas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gingivalis</w:t>
      </w:r>
      <w:proofErr w:type="spellEnd"/>
      <w:r>
        <w:rPr>
          <w:rFonts w:ascii="Arial" w:hAnsi="Arial" w:cs="Arial"/>
          <w:sz w:val="28"/>
          <w:szCs w:val="20"/>
          <w:lang w:val="en-US"/>
        </w:rPr>
        <w:t>,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Aggregatibacter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actinomycetemcomitans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,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Tannerella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forsythia, </w:t>
      </w:r>
      <w:r>
        <w:rPr>
          <w:rFonts w:ascii="Arial" w:hAnsi="Arial" w:cs="Arial"/>
          <w:sz w:val="28"/>
          <w:szCs w:val="20"/>
          <w:lang w:val="en-US"/>
        </w:rPr>
        <w:t>and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Prevotella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intermedia</w:t>
      </w:r>
      <w:r w:rsidRPr="00EE1D8E">
        <w:rPr>
          <w:rFonts w:ascii="Arial" w:hAnsi="Arial" w:cs="Arial"/>
          <w:sz w:val="28"/>
          <w:szCs w:val="28"/>
          <w:lang w:val="en-US"/>
        </w:rPr>
        <w:t xml:space="preserve"> </w:t>
      </w:r>
      <w:r w:rsidR="00F4405E">
        <w:rPr>
          <w:rFonts w:ascii="Arial" w:hAnsi="Arial" w:cs="Arial"/>
          <w:sz w:val="28"/>
          <w:szCs w:val="28"/>
          <w:lang w:val="en-US"/>
        </w:rPr>
        <w:t xml:space="preserve">could </w:t>
      </w:r>
      <w:proofErr w:type="gramStart"/>
      <w:r>
        <w:rPr>
          <w:rFonts w:ascii="Arial" w:hAnsi="Arial" w:cs="Arial"/>
          <w:sz w:val="28"/>
          <w:szCs w:val="28"/>
          <w:lang w:val="en-US"/>
        </w:rPr>
        <w:t xml:space="preserve">affect </w:t>
      </w:r>
      <w:r w:rsidR="00F4405E">
        <w:rPr>
          <w:rFonts w:ascii="Arial" w:hAnsi="Arial" w:cs="Arial"/>
          <w:sz w:val="28"/>
          <w:szCs w:val="28"/>
          <w:lang w:val="en-US"/>
        </w:rPr>
        <w:t xml:space="preserve"> the</w:t>
      </w:r>
      <w:proofErr w:type="gramEnd"/>
      <w:r w:rsidR="00F4405E"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 xml:space="preserve">periodontal health during </w:t>
      </w:r>
      <w:r w:rsidRPr="00EE1D8E">
        <w:rPr>
          <w:rFonts w:ascii="Arial" w:hAnsi="Arial" w:cs="Arial"/>
          <w:sz w:val="28"/>
          <w:szCs w:val="28"/>
          <w:lang w:val="en-US"/>
        </w:rPr>
        <w:t>orthodontic</w:t>
      </w:r>
      <w:r>
        <w:rPr>
          <w:rFonts w:ascii="Arial" w:hAnsi="Arial" w:cs="Arial"/>
          <w:sz w:val="28"/>
          <w:szCs w:val="28"/>
          <w:lang w:val="en-US"/>
        </w:rPr>
        <w:t xml:space="preserve"> treatment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. Materials and </w:t>
      </w:r>
      <w:r w:rsidRPr="00F619C5">
        <w:rPr>
          <w:rFonts w:ascii="Arial" w:hAnsi="Arial" w:cs="Arial"/>
          <w:b/>
          <w:color w:val="FF0000"/>
          <w:sz w:val="28"/>
          <w:szCs w:val="20"/>
          <w:lang w:val="en-US"/>
        </w:rPr>
        <w:t>Methods: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Thirty orthodontic patients (17 females and 13 males; aged 12 to </w:t>
      </w:r>
      <w:proofErr w:type="gramStart"/>
      <w:r w:rsidRPr="00BB4BFE">
        <w:rPr>
          <w:rFonts w:ascii="Arial" w:hAnsi="Arial" w:cs="Arial"/>
          <w:sz w:val="28"/>
          <w:szCs w:val="20"/>
          <w:lang w:val="en-US"/>
        </w:rPr>
        <w:t>16 )</w:t>
      </w:r>
      <w:proofErr w:type="gramEnd"/>
      <w:r w:rsidRPr="00BB4BFE">
        <w:rPr>
          <w:rFonts w:ascii="Arial" w:hAnsi="Arial" w:cs="Arial"/>
          <w:sz w:val="28"/>
          <w:szCs w:val="20"/>
          <w:lang w:val="en-US"/>
        </w:rPr>
        <w:t xml:space="preserve"> were included in this study. Subgingival microbial samples were taken from the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mesio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>-buccal gingival crevice of the right low</w:t>
      </w:r>
      <w:r>
        <w:rPr>
          <w:rFonts w:ascii="Arial" w:hAnsi="Arial" w:cs="Arial"/>
          <w:sz w:val="28"/>
          <w:szCs w:val="20"/>
          <w:lang w:val="en-US"/>
        </w:rPr>
        <w:t>er central incisors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, the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mesio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-buccal gingival crevice </w:t>
      </w:r>
      <w:r>
        <w:rPr>
          <w:rFonts w:ascii="Arial" w:hAnsi="Arial" w:cs="Arial"/>
          <w:sz w:val="28"/>
          <w:szCs w:val="20"/>
          <w:lang w:val="en-US"/>
        </w:rPr>
        <w:t>of the left upper first molars, at th</w:t>
      </w:r>
      <w:r w:rsidRPr="00BB4BFE">
        <w:rPr>
          <w:rFonts w:ascii="Arial" w:hAnsi="Arial" w:cs="Arial"/>
          <w:sz w:val="28"/>
          <w:szCs w:val="20"/>
          <w:lang w:val="en-US"/>
        </w:rPr>
        <w:t>r</w:t>
      </w:r>
      <w:r>
        <w:rPr>
          <w:rFonts w:ascii="Arial" w:hAnsi="Arial" w:cs="Arial"/>
          <w:sz w:val="28"/>
          <w:szCs w:val="20"/>
          <w:lang w:val="en-US"/>
        </w:rPr>
        <w:t>ee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different times: before placement of ort</w:t>
      </w:r>
      <w:r>
        <w:rPr>
          <w:rFonts w:ascii="Arial" w:hAnsi="Arial" w:cs="Arial"/>
          <w:sz w:val="28"/>
          <w:szCs w:val="20"/>
          <w:lang w:val="en-US"/>
        </w:rPr>
        <w:t xml:space="preserve">hodontic appliances (T1), after </w:t>
      </w:r>
      <w:r w:rsidRPr="00BB4BFE">
        <w:rPr>
          <w:rFonts w:ascii="Arial" w:hAnsi="Arial" w:cs="Arial"/>
          <w:sz w:val="28"/>
          <w:szCs w:val="20"/>
          <w:lang w:val="en-US"/>
        </w:rPr>
        <w:t>1</w:t>
      </w:r>
      <w:r>
        <w:rPr>
          <w:rFonts w:ascii="Arial" w:hAnsi="Arial" w:cs="Arial"/>
          <w:sz w:val="28"/>
          <w:szCs w:val="20"/>
          <w:lang w:val="en-US"/>
        </w:rPr>
        <w:t>2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r>
        <w:rPr>
          <w:rFonts w:ascii="Arial" w:hAnsi="Arial" w:cs="Arial"/>
          <w:sz w:val="28"/>
          <w:szCs w:val="20"/>
          <w:lang w:val="en-US"/>
        </w:rPr>
        <w:t xml:space="preserve">months </w:t>
      </w:r>
      <w:r w:rsidRPr="00BB4BFE">
        <w:rPr>
          <w:rFonts w:ascii="Arial" w:hAnsi="Arial" w:cs="Arial"/>
          <w:sz w:val="28"/>
          <w:szCs w:val="20"/>
          <w:lang w:val="en-US"/>
        </w:rPr>
        <w:t>of orthodontic appliances</w:t>
      </w:r>
      <w:r>
        <w:rPr>
          <w:rFonts w:ascii="Arial" w:hAnsi="Arial" w:cs="Arial"/>
          <w:sz w:val="28"/>
          <w:szCs w:val="20"/>
          <w:lang w:val="en-US"/>
        </w:rPr>
        <w:t xml:space="preserve"> </w:t>
      </w:r>
      <w:r w:rsidRPr="00BB4BFE">
        <w:rPr>
          <w:rFonts w:ascii="Arial" w:hAnsi="Arial" w:cs="Arial"/>
          <w:sz w:val="28"/>
          <w:szCs w:val="20"/>
          <w:lang w:val="en-US"/>
        </w:rPr>
        <w:t>placement</w:t>
      </w:r>
      <w:r>
        <w:rPr>
          <w:rFonts w:ascii="Arial" w:hAnsi="Arial" w:cs="Arial"/>
          <w:sz w:val="28"/>
          <w:szCs w:val="20"/>
          <w:lang w:val="en-US"/>
        </w:rPr>
        <w:t xml:space="preserve"> (T2) and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r>
        <w:rPr>
          <w:rFonts w:ascii="Arial" w:hAnsi="Arial" w:cs="Arial"/>
          <w:sz w:val="28"/>
          <w:szCs w:val="20"/>
          <w:lang w:val="en-US"/>
        </w:rPr>
        <w:t>20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months </w:t>
      </w:r>
      <w:r>
        <w:rPr>
          <w:rFonts w:ascii="Arial" w:hAnsi="Arial" w:cs="Arial"/>
          <w:sz w:val="28"/>
          <w:szCs w:val="20"/>
          <w:lang w:val="en-US"/>
        </w:rPr>
        <w:t xml:space="preserve">later (T3). </w:t>
      </w:r>
      <w:r w:rsidRPr="00BB4BFE">
        <w:rPr>
          <w:rFonts w:ascii="Arial" w:hAnsi="Arial" w:cs="Arial"/>
          <w:sz w:val="28"/>
          <w:szCs w:val="20"/>
          <w:lang w:val="en-US"/>
        </w:rPr>
        <w:t>DNA was extracted from the samples</w:t>
      </w:r>
      <w:r>
        <w:rPr>
          <w:rFonts w:ascii="Arial" w:hAnsi="Arial" w:cs="Arial"/>
          <w:sz w:val="28"/>
          <w:szCs w:val="20"/>
          <w:lang w:val="en-US"/>
        </w:rPr>
        <w:t xml:space="preserve"> with FTA paper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, and the 16S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rRNA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-based PCR detection method was used to determine the prevalence of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Porphyromonas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gingivalis</w:t>
      </w:r>
      <w:proofErr w:type="spellEnd"/>
      <w:r>
        <w:rPr>
          <w:rFonts w:ascii="Arial" w:hAnsi="Arial" w:cs="Arial"/>
          <w:sz w:val="28"/>
          <w:szCs w:val="20"/>
          <w:lang w:val="en-US"/>
        </w:rPr>
        <w:t>,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Aggregatibacter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actinomycetemcomitans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,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Tannerella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forsythia, </w:t>
      </w:r>
      <w:r>
        <w:rPr>
          <w:rFonts w:ascii="Arial" w:hAnsi="Arial" w:cs="Arial"/>
          <w:sz w:val="28"/>
          <w:szCs w:val="20"/>
          <w:lang w:val="en-US"/>
        </w:rPr>
        <w:t>and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Prevotella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intermedia. </w:t>
      </w:r>
      <w:r w:rsidRPr="00F619C5">
        <w:rPr>
          <w:rFonts w:ascii="Arial" w:hAnsi="Arial" w:cs="Arial"/>
          <w:b/>
          <w:color w:val="FF0000"/>
          <w:sz w:val="28"/>
          <w:szCs w:val="20"/>
          <w:lang w:val="en-US"/>
        </w:rPr>
        <w:t>Results: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The </w:t>
      </w:r>
      <w:r>
        <w:rPr>
          <w:rFonts w:ascii="Arial" w:hAnsi="Arial" w:cs="Arial"/>
          <w:sz w:val="28"/>
          <w:szCs w:val="20"/>
          <w:lang w:val="en-US"/>
        </w:rPr>
        <w:t xml:space="preserve">presence </w:t>
      </w:r>
      <w:r w:rsidRPr="00BB4BFE">
        <w:rPr>
          <w:rFonts w:ascii="Arial" w:hAnsi="Arial" w:cs="Arial"/>
          <w:sz w:val="28"/>
          <w:szCs w:val="20"/>
          <w:lang w:val="en-US"/>
        </w:rPr>
        <w:t>of</w:t>
      </w:r>
      <w:r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Porphyromonas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gingivalis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was seen since (T1), and 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significantly increased </w:t>
      </w:r>
      <w:r>
        <w:rPr>
          <w:rFonts w:ascii="Arial" w:hAnsi="Arial" w:cs="Arial"/>
          <w:sz w:val="28"/>
          <w:szCs w:val="20"/>
          <w:lang w:val="en-US"/>
        </w:rPr>
        <w:t>befo</w:t>
      </w:r>
      <w:r w:rsidRPr="00BB4BFE">
        <w:rPr>
          <w:rFonts w:ascii="Arial" w:hAnsi="Arial" w:cs="Arial"/>
          <w:sz w:val="28"/>
          <w:szCs w:val="20"/>
          <w:lang w:val="en-US"/>
        </w:rPr>
        <w:t>r</w:t>
      </w:r>
      <w:r>
        <w:rPr>
          <w:rFonts w:ascii="Arial" w:hAnsi="Arial" w:cs="Arial"/>
          <w:sz w:val="28"/>
          <w:szCs w:val="20"/>
          <w:lang w:val="en-US"/>
        </w:rPr>
        <w:t xml:space="preserve">e 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placement </w:t>
      </w:r>
      <w:r>
        <w:rPr>
          <w:rFonts w:ascii="Arial" w:hAnsi="Arial" w:cs="Arial"/>
          <w:sz w:val="28"/>
          <w:szCs w:val="20"/>
          <w:lang w:val="en-US"/>
        </w:rPr>
        <w:t>the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orthodontic appliances. For </w:t>
      </w:r>
      <w:r>
        <w:rPr>
          <w:rFonts w:ascii="Arial" w:hAnsi="Arial" w:cs="Arial"/>
          <w:sz w:val="28"/>
          <w:szCs w:val="20"/>
          <w:lang w:val="en-US"/>
        </w:rPr>
        <w:t>all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r>
        <w:rPr>
          <w:rFonts w:ascii="Arial" w:hAnsi="Arial" w:cs="Arial"/>
          <w:sz w:val="28"/>
          <w:szCs w:val="20"/>
          <w:lang w:val="en-US"/>
        </w:rPr>
        <w:t>bacteria’s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, the frequency tended to increase but no statistically significant difference was noted. </w:t>
      </w:r>
      <w:r w:rsidR="00F10E3B">
        <w:rPr>
          <w:rFonts w:ascii="Arial" w:hAnsi="Arial" w:cs="Arial"/>
          <w:sz w:val="28"/>
          <w:szCs w:val="20"/>
          <w:lang w:val="en-US"/>
        </w:rPr>
        <w:t>A</w:t>
      </w:r>
      <w:r>
        <w:rPr>
          <w:rFonts w:ascii="Arial" w:hAnsi="Arial" w:cs="Arial"/>
          <w:sz w:val="28"/>
          <w:szCs w:val="20"/>
          <w:lang w:val="en-US"/>
        </w:rPr>
        <w:t>ll bacteria’s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r>
        <w:rPr>
          <w:rFonts w:ascii="Arial" w:hAnsi="Arial" w:cs="Arial"/>
          <w:sz w:val="28"/>
          <w:szCs w:val="20"/>
          <w:lang w:val="en-US"/>
        </w:rPr>
        <w:t xml:space="preserve">was seen since T1 specially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Porphyromonas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gingivalis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and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Tannerella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forsythia</w:t>
      </w:r>
      <w:r w:rsidR="00F10E3B">
        <w:rPr>
          <w:rFonts w:ascii="Arial" w:hAnsi="Arial" w:cs="Arial"/>
          <w:sz w:val="28"/>
          <w:szCs w:val="20"/>
          <w:lang w:val="en-US"/>
        </w:rPr>
        <w:t>,</w:t>
      </w:r>
      <w:r>
        <w:rPr>
          <w:rFonts w:ascii="Arial" w:hAnsi="Arial" w:cs="Arial"/>
          <w:sz w:val="28"/>
          <w:szCs w:val="20"/>
          <w:lang w:val="en-US"/>
        </w:rPr>
        <w:t xml:space="preserve"> </w:t>
      </w:r>
      <w:r w:rsidR="00F10E3B">
        <w:rPr>
          <w:rFonts w:ascii="Arial" w:hAnsi="Arial" w:cs="Arial"/>
          <w:sz w:val="28"/>
          <w:szCs w:val="20"/>
          <w:lang w:val="en-US"/>
        </w:rPr>
        <w:t>even tough</w:t>
      </w:r>
      <w:r>
        <w:rPr>
          <w:rFonts w:ascii="Arial" w:hAnsi="Arial" w:cs="Arial"/>
          <w:sz w:val="28"/>
          <w:szCs w:val="20"/>
          <w:lang w:val="en-US"/>
        </w:rPr>
        <w:t xml:space="preserve"> new </w:t>
      </w:r>
      <w:r w:rsidR="00F10E3B">
        <w:rPr>
          <w:rFonts w:ascii="Arial" w:hAnsi="Arial" w:cs="Arial"/>
          <w:sz w:val="28"/>
          <w:szCs w:val="20"/>
          <w:lang w:val="en-US"/>
        </w:rPr>
        <w:t xml:space="preserve">changes where seen at T2 and </w:t>
      </w:r>
      <w:proofErr w:type="gramStart"/>
      <w:r w:rsidR="00F10E3B">
        <w:rPr>
          <w:rFonts w:ascii="Arial" w:hAnsi="Arial" w:cs="Arial"/>
          <w:sz w:val="28"/>
          <w:szCs w:val="20"/>
          <w:lang w:val="en-US"/>
        </w:rPr>
        <w:t xml:space="preserve">T3 </w:t>
      </w:r>
      <w:r>
        <w:rPr>
          <w:rFonts w:ascii="Arial" w:hAnsi="Arial" w:cs="Arial"/>
          <w:sz w:val="28"/>
          <w:szCs w:val="20"/>
          <w:lang w:val="en-US"/>
        </w:rPr>
        <w:t xml:space="preserve"> because</w:t>
      </w:r>
      <w:proofErr w:type="gramEnd"/>
      <w:r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Porphyromonas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gingivalis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and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Tannerella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forsythia had higher levels than the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actinomycetemcomitans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and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Prevotella</w:t>
      </w:r>
      <w:proofErr w:type="spellEnd"/>
      <w:r w:rsidRPr="00BB4BFE">
        <w:rPr>
          <w:rFonts w:ascii="Arial" w:hAnsi="Arial" w:cs="Arial"/>
          <w:sz w:val="28"/>
          <w:szCs w:val="20"/>
          <w:lang w:val="en-US"/>
        </w:rPr>
        <w:t xml:space="preserve"> intermedia. </w:t>
      </w:r>
      <w:r w:rsidRPr="00F619C5">
        <w:rPr>
          <w:rFonts w:ascii="Arial" w:hAnsi="Arial" w:cs="Arial"/>
          <w:b/>
          <w:color w:val="FF0000"/>
          <w:sz w:val="28"/>
          <w:szCs w:val="20"/>
          <w:lang w:val="en-US"/>
        </w:rPr>
        <w:t>Conclusion: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r w:rsidR="00F10E3B">
        <w:rPr>
          <w:rFonts w:ascii="Arial" w:hAnsi="Arial" w:cs="Arial"/>
          <w:sz w:val="28"/>
          <w:szCs w:val="20"/>
          <w:lang w:val="en-US"/>
        </w:rPr>
        <w:t>This study</w:t>
      </w:r>
      <w:r>
        <w:rPr>
          <w:rFonts w:ascii="Arial" w:hAnsi="Arial" w:cs="Arial"/>
          <w:sz w:val="28"/>
          <w:szCs w:val="20"/>
          <w:lang w:val="en-US"/>
        </w:rPr>
        <w:t xml:space="preserve"> suggest that 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orthodontic appliances </w:t>
      </w:r>
      <w:r w:rsidR="00F10E3B">
        <w:rPr>
          <w:rFonts w:ascii="Arial" w:hAnsi="Arial" w:cs="Arial"/>
          <w:sz w:val="28"/>
          <w:szCs w:val="20"/>
          <w:lang w:val="en-US"/>
        </w:rPr>
        <w:t xml:space="preserve">could 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affects </w:t>
      </w:r>
      <w:r>
        <w:rPr>
          <w:rFonts w:ascii="Arial" w:hAnsi="Arial" w:cs="Arial"/>
          <w:sz w:val="28"/>
          <w:szCs w:val="20"/>
          <w:lang w:val="en-US"/>
        </w:rPr>
        <w:t xml:space="preserve">temporally </w:t>
      </w:r>
      <w:r w:rsidRPr="00BB4BFE">
        <w:rPr>
          <w:rFonts w:ascii="Arial" w:hAnsi="Arial" w:cs="Arial"/>
          <w:sz w:val="28"/>
          <w:szCs w:val="20"/>
          <w:lang w:val="en-US"/>
        </w:rPr>
        <w:t>the subgingival microbial</w:t>
      </w:r>
      <w:r>
        <w:rPr>
          <w:rFonts w:ascii="Arial" w:hAnsi="Arial" w:cs="Arial"/>
          <w:sz w:val="28"/>
          <w:szCs w:val="20"/>
          <w:lang w:val="en-US"/>
        </w:rPr>
        <w:t xml:space="preserve"> </w:t>
      </w:r>
      <w:r w:rsidRPr="00BB4BFE">
        <w:rPr>
          <w:rFonts w:ascii="Arial" w:hAnsi="Arial" w:cs="Arial"/>
          <w:sz w:val="28"/>
          <w:szCs w:val="20"/>
          <w:lang w:val="en-US"/>
        </w:rPr>
        <w:t>composition</w:t>
      </w:r>
      <w:r>
        <w:rPr>
          <w:rFonts w:ascii="Arial" w:hAnsi="Arial" w:cs="Arial"/>
          <w:sz w:val="28"/>
          <w:szCs w:val="20"/>
          <w:lang w:val="en-US"/>
        </w:rPr>
        <w:t xml:space="preserve"> 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even </w:t>
      </w:r>
      <w:r>
        <w:rPr>
          <w:rFonts w:ascii="Arial" w:hAnsi="Arial" w:cs="Arial"/>
          <w:sz w:val="28"/>
          <w:szCs w:val="20"/>
          <w:lang w:val="en-US"/>
        </w:rPr>
        <w:t xml:space="preserve">if </w:t>
      </w:r>
      <w:r w:rsidRPr="00BB4BFE">
        <w:rPr>
          <w:rFonts w:ascii="Arial" w:hAnsi="Arial" w:cs="Arial"/>
          <w:sz w:val="28"/>
          <w:szCs w:val="20"/>
          <w:lang w:val="en-US"/>
        </w:rPr>
        <w:t>the prevalence of</w:t>
      </w:r>
      <w:r>
        <w:rPr>
          <w:rFonts w:ascii="Arial" w:hAnsi="Arial" w:cs="Arial"/>
          <w:sz w:val="28"/>
          <w:szCs w:val="20"/>
          <w:lang w:val="en-US"/>
        </w:rPr>
        <w:t xml:space="preserve"> all</w:t>
      </w:r>
      <w:r w:rsidRPr="00BB4BFE">
        <w:rPr>
          <w:rFonts w:ascii="Arial" w:hAnsi="Arial" w:cs="Arial"/>
          <w:sz w:val="28"/>
          <w:szCs w:val="20"/>
          <w:lang w:val="en-US"/>
        </w:rPr>
        <w:t xml:space="preserve"> </w:t>
      </w:r>
      <w:proofErr w:type="spellStart"/>
      <w:r w:rsidRPr="00BB4BFE">
        <w:rPr>
          <w:rFonts w:ascii="Arial" w:hAnsi="Arial" w:cs="Arial"/>
          <w:sz w:val="28"/>
          <w:szCs w:val="20"/>
          <w:lang w:val="en-US"/>
        </w:rPr>
        <w:t>periodontopathogens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studied had presence in the </w:t>
      </w:r>
      <w:proofErr w:type="spellStart"/>
      <w:r>
        <w:rPr>
          <w:rFonts w:ascii="Arial" w:hAnsi="Arial" w:cs="Arial"/>
          <w:sz w:val="28"/>
          <w:szCs w:val="20"/>
          <w:lang w:val="en-US"/>
        </w:rPr>
        <w:t>crevicular</w:t>
      </w:r>
      <w:proofErr w:type="spellEnd"/>
      <w:r>
        <w:rPr>
          <w:rFonts w:ascii="Arial" w:hAnsi="Arial" w:cs="Arial"/>
          <w:sz w:val="28"/>
          <w:szCs w:val="20"/>
          <w:lang w:val="en-US"/>
        </w:rPr>
        <w:t xml:space="preserve"> sulcus before the orthodontic treatment.</w:t>
      </w:r>
    </w:p>
    <w:p w:rsidR="00780596" w:rsidRDefault="00780596">
      <w:pPr>
        <w:rPr>
          <w:lang w:val="en-US"/>
        </w:rPr>
      </w:pPr>
    </w:p>
    <w:p w:rsidR="00B500A5" w:rsidRDefault="00B500A5">
      <w:pPr>
        <w:rPr>
          <w:lang w:val="en-US"/>
        </w:rPr>
      </w:pPr>
    </w:p>
    <w:p w:rsidR="00B500A5" w:rsidRDefault="00B500A5">
      <w:pPr>
        <w:rPr>
          <w:lang w:val="en-US"/>
        </w:rPr>
      </w:pPr>
    </w:p>
    <w:p w:rsidR="00B500A5" w:rsidRDefault="00B500A5">
      <w:pPr>
        <w:rPr>
          <w:lang w:val="en-US"/>
        </w:rPr>
      </w:pPr>
    </w:p>
    <w:p w:rsidR="00B500A5" w:rsidRPr="00B500A5" w:rsidRDefault="00B500A5" w:rsidP="00B500A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500A5">
        <w:rPr>
          <w:rFonts w:ascii="Arial" w:hAnsi="Arial" w:cs="Arial"/>
          <w:sz w:val="28"/>
          <w:szCs w:val="28"/>
        </w:rPr>
        <w:lastRenderedPageBreak/>
        <w:t xml:space="preserve">Yi Liu1, </w:t>
      </w:r>
      <w:proofErr w:type="spellStart"/>
      <w:r w:rsidRPr="00B500A5">
        <w:rPr>
          <w:rFonts w:ascii="Arial" w:hAnsi="Arial" w:cs="Arial"/>
          <w:sz w:val="28"/>
          <w:szCs w:val="28"/>
        </w:rPr>
        <w:t>Yujie</w:t>
      </w:r>
      <w:proofErr w:type="spellEnd"/>
      <w:r w:rsidRPr="00B500A5">
        <w:rPr>
          <w:rFonts w:ascii="Arial" w:hAnsi="Arial" w:cs="Arial"/>
          <w:sz w:val="28"/>
          <w:szCs w:val="28"/>
        </w:rPr>
        <w:t xml:space="preserve"> Zhang2, Lili Wang3, Yang Guo2, </w:t>
      </w:r>
      <w:proofErr w:type="spellStart"/>
      <w:r w:rsidRPr="00B500A5">
        <w:rPr>
          <w:rFonts w:ascii="Arial" w:hAnsi="Arial" w:cs="Arial"/>
          <w:sz w:val="28"/>
          <w:szCs w:val="28"/>
        </w:rPr>
        <w:t>Shuiqing</w:t>
      </w:r>
      <w:proofErr w:type="spellEnd"/>
      <w:r w:rsidRPr="00B500A5">
        <w:rPr>
          <w:rFonts w:ascii="Arial" w:hAnsi="Arial" w:cs="Arial"/>
          <w:sz w:val="28"/>
          <w:szCs w:val="28"/>
        </w:rPr>
        <w:t xml:space="preserve"> Xiao2 Prevalence of </w:t>
      </w:r>
      <w:proofErr w:type="spellStart"/>
      <w:r w:rsidRPr="00B500A5">
        <w:rPr>
          <w:rFonts w:ascii="Arial" w:hAnsi="Arial" w:cs="Arial"/>
          <w:sz w:val="28"/>
          <w:szCs w:val="28"/>
        </w:rPr>
        <w:t>Porphyromonas</w:t>
      </w:r>
      <w:proofErr w:type="spellEnd"/>
      <w:r w:rsidRPr="00B500A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00A5">
        <w:rPr>
          <w:rFonts w:ascii="Arial" w:hAnsi="Arial" w:cs="Arial"/>
          <w:sz w:val="28"/>
          <w:szCs w:val="28"/>
        </w:rPr>
        <w:t>gingivalis</w:t>
      </w:r>
      <w:proofErr w:type="spellEnd"/>
      <w:r w:rsidRPr="00B500A5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500A5">
        <w:rPr>
          <w:rFonts w:ascii="Arial" w:hAnsi="Arial" w:cs="Arial"/>
          <w:sz w:val="28"/>
          <w:szCs w:val="28"/>
        </w:rPr>
        <w:t>Four</w:t>
      </w:r>
      <w:proofErr w:type="gramEnd"/>
      <w:r w:rsidRPr="00B500A5">
        <w:rPr>
          <w:rFonts w:ascii="Arial" w:hAnsi="Arial" w:cs="Arial"/>
          <w:sz w:val="28"/>
          <w:szCs w:val="28"/>
        </w:rPr>
        <w:t xml:space="preserve"> rag Locus Genotypes in Patients of Orthodontic Gingivitis and Periodontitis. </w:t>
      </w:r>
      <w:proofErr w:type="gramStart"/>
      <w:r w:rsidRPr="00B500A5">
        <w:rPr>
          <w:rFonts w:ascii="Arial" w:hAnsi="Arial" w:cs="Arial"/>
          <w:sz w:val="28"/>
          <w:szCs w:val="28"/>
        </w:rPr>
        <w:t>www.plosone.org  April</w:t>
      </w:r>
      <w:proofErr w:type="gramEnd"/>
      <w:r w:rsidRPr="00B500A5">
        <w:rPr>
          <w:rFonts w:ascii="Arial" w:hAnsi="Arial" w:cs="Arial"/>
          <w:sz w:val="28"/>
          <w:szCs w:val="28"/>
        </w:rPr>
        <w:t xml:space="preserve"> 2013 | Volume 8 | Issue 4 | e61028.</w:t>
      </w:r>
    </w:p>
    <w:p w:rsidR="00B500A5" w:rsidRPr="00F204DD" w:rsidRDefault="00B500A5" w:rsidP="00B500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  <w:proofErr w:type="spellStart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Shuang</w:t>
      </w:r>
      <w:proofErr w:type="spellEnd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Pan ,Yi Liu ,Yi Si, </w:t>
      </w:r>
      <w:proofErr w:type="spellStart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Qiang</w:t>
      </w:r>
      <w:proofErr w:type="spellEnd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Zhang,Lin</w:t>
      </w:r>
      <w:proofErr w:type="spellEnd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Wang,Jianwei</w:t>
      </w:r>
      <w:proofErr w:type="spellEnd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Liu, </w:t>
      </w:r>
      <w:proofErr w:type="spellStart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Chunling</w:t>
      </w:r>
      <w:proofErr w:type="spellEnd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Wang ,</w:t>
      </w:r>
      <w:proofErr w:type="spellStart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Shuiqing</w:t>
      </w:r>
      <w:proofErr w:type="spellEnd"/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Xiao. </w:t>
      </w:r>
      <w:r w:rsidRPr="00F204DD">
        <w:rPr>
          <w:rFonts w:ascii="Arial" w:eastAsia="Times New Roman" w:hAnsi="Arial" w:cs="Arial"/>
          <w:color w:val="000000"/>
          <w:kern w:val="36"/>
          <w:sz w:val="28"/>
          <w:szCs w:val="28"/>
          <w:lang w:val="en-US"/>
        </w:rPr>
        <w:t>Prevalence of </w:t>
      </w:r>
      <w:proofErr w:type="spellStart"/>
      <w:r w:rsidRPr="00F204DD">
        <w:rPr>
          <w:rFonts w:ascii="Arial" w:eastAsia="Times New Roman" w:hAnsi="Arial" w:cs="Arial"/>
          <w:i/>
          <w:iCs/>
          <w:color w:val="000000"/>
          <w:kern w:val="36"/>
          <w:sz w:val="28"/>
          <w:szCs w:val="28"/>
          <w:lang w:val="en-US"/>
        </w:rPr>
        <w:t>fimA</w:t>
      </w:r>
      <w:proofErr w:type="spellEnd"/>
      <w:r w:rsidRPr="00F204DD">
        <w:rPr>
          <w:rFonts w:ascii="Arial" w:eastAsia="Times New Roman" w:hAnsi="Arial" w:cs="Arial"/>
          <w:color w:val="000000"/>
          <w:kern w:val="36"/>
          <w:sz w:val="28"/>
          <w:szCs w:val="28"/>
          <w:lang w:val="en-US"/>
        </w:rPr>
        <w:t> genotypes of </w:t>
      </w:r>
      <w:proofErr w:type="spellStart"/>
      <w:r w:rsidRPr="00F204DD">
        <w:rPr>
          <w:rFonts w:ascii="Arial" w:eastAsia="Times New Roman" w:hAnsi="Arial" w:cs="Arial"/>
          <w:i/>
          <w:iCs/>
          <w:color w:val="000000"/>
          <w:kern w:val="36"/>
          <w:sz w:val="28"/>
          <w:szCs w:val="28"/>
          <w:lang w:val="en-US"/>
        </w:rPr>
        <w:t>Porphyromonas</w:t>
      </w:r>
      <w:proofErr w:type="spellEnd"/>
      <w:r w:rsidRPr="00F204DD">
        <w:rPr>
          <w:rFonts w:ascii="Arial" w:eastAsia="Times New Roman" w:hAnsi="Arial" w:cs="Arial"/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proofErr w:type="spellStart"/>
      <w:r w:rsidRPr="00F204DD">
        <w:rPr>
          <w:rFonts w:ascii="Arial" w:eastAsia="Times New Roman" w:hAnsi="Arial" w:cs="Arial"/>
          <w:i/>
          <w:iCs/>
          <w:color w:val="000000"/>
          <w:kern w:val="36"/>
          <w:sz w:val="28"/>
          <w:szCs w:val="28"/>
          <w:lang w:val="en-US"/>
        </w:rPr>
        <w:t>gingivalis</w:t>
      </w:r>
      <w:proofErr w:type="spellEnd"/>
      <w:r w:rsidRPr="00F204DD">
        <w:rPr>
          <w:rFonts w:ascii="Arial" w:eastAsia="Times New Roman" w:hAnsi="Arial" w:cs="Arial"/>
          <w:color w:val="000000"/>
          <w:kern w:val="36"/>
          <w:sz w:val="28"/>
          <w:szCs w:val="28"/>
          <w:lang w:val="en-US"/>
        </w:rPr>
        <w:t> in adolescent orthodontic patients</w:t>
      </w:r>
    </w:p>
    <w:p w:rsidR="00B500A5" w:rsidRPr="00F204DD" w:rsidRDefault="00B500A5" w:rsidP="00B500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Pan S, Liu Y, Zhang L, Li S, Zhang Y, Liu J, et al. </w:t>
      </w:r>
      <w:proofErr w:type="gramStart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>Profiling</w:t>
      </w:r>
      <w:proofErr w:type="gramEnd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of subgingival plaque biofilm microbiota in</w:t>
      </w:r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adolescents after completion of orthodontic therapy. </w:t>
      </w:r>
      <w:proofErr w:type="spellStart"/>
      <w:r w:rsidRPr="00F204DD">
        <w:rPr>
          <w:rFonts w:ascii="Arial" w:hAnsi="Arial" w:cs="Arial"/>
          <w:color w:val="000000" w:themeColor="text1"/>
          <w:sz w:val="28"/>
          <w:szCs w:val="28"/>
        </w:rPr>
        <w:t>PloS</w:t>
      </w:r>
      <w:proofErr w:type="spellEnd"/>
      <w:r w:rsidRPr="00F204D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204DD">
        <w:rPr>
          <w:rFonts w:ascii="Arial" w:hAnsi="Arial" w:cs="Arial"/>
          <w:color w:val="000000" w:themeColor="text1"/>
          <w:sz w:val="28"/>
          <w:szCs w:val="28"/>
        </w:rPr>
        <w:t>one</w:t>
      </w:r>
      <w:proofErr w:type="spellEnd"/>
      <w:r w:rsidRPr="00F204DD">
        <w:rPr>
          <w:rFonts w:ascii="Arial" w:hAnsi="Arial" w:cs="Arial"/>
          <w:color w:val="000000" w:themeColor="text1"/>
          <w:sz w:val="28"/>
          <w:szCs w:val="28"/>
        </w:rPr>
        <w:t xml:space="preserve">. 2017; 12(2):e0171550. </w:t>
      </w:r>
      <w:hyperlink r:id="rId6" w:history="1">
        <w:r w:rsidRPr="00F204DD">
          <w:rPr>
            <w:rStyle w:val="Hipervnculo"/>
            <w:rFonts w:ascii="Arial" w:hAnsi="Arial" w:cs="Arial"/>
            <w:color w:val="000000" w:themeColor="text1"/>
            <w:sz w:val="28"/>
            <w:szCs w:val="28"/>
          </w:rPr>
          <w:t>https://doi.org/</w:t>
        </w:r>
      </w:hyperlink>
      <w:r w:rsidRPr="00F204DD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r w:rsidRPr="00F204DD">
        <w:rPr>
          <w:rFonts w:ascii="Arial" w:hAnsi="Arial" w:cs="Arial"/>
          <w:color w:val="000000" w:themeColor="text1"/>
          <w:sz w:val="28"/>
          <w:szCs w:val="28"/>
        </w:rPr>
        <w:t>10.1371/journal.pone.0171550 PMID: 28158292</w:t>
      </w:r>
    </w:p>
    <w:p w:rsidR="00B500A5" w:rsidRPr="00F204DD" w:rsidRDefault="00B500A5" w:rsidP="00B500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  <w:proofErr w:type="spellStart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>Faveri</w:t>
      </w:r>
      <w:proofErr w:type="spellEnd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M, </w:t>
      </w:r>
      <w:proofErr w:type="spellStart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>Figueiredo</w:t>
      </w:r>
      <w:proofErr w:type="spellEnd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LC, Duarte PM, </w:t>
      </w:r>
      <w:proofErr w:type="spellStart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>Mestnik</w:t>
      </w:r>
      <w:proofErr w:type="spellEnd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MJ, Mayer MP, </w:t>
      </w:r>
      <w:proofErr w:type="spellStart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>Feres</w:t>
      </w:r>
      <w:proofErr w:type="spellEnd"/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 M. Microbiological profile of</w:t>
      </w:r>
      <w:r w:rsidRPr="00F204DD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r w:rsidRPr="00F204DD">
        <w:rPr>
          <w:rFonts w:ascii="Arial" w:hAnsi="Arial" w:cs="Arial"/>
          <w:color w:val="000000" w:themeColor="text1"/>
          <w:sz w:val="28"/>
          <w:szCs w:val="28"/>
          <w:lang w:val="en-US"/>
        </w:rPr>
        <w:t>untreated subjects with localized aggressive periodontitis. Journal of clinical periodontology. 2009; 36(9):739±49. https://doi.org/10.1111/j.1600-051X.2009.01449.x PMID: 19637996.</w:t>
      </w:r>
    </w:p>
    <w:p w:rsidR="00B500A5" w:rsidRPr="00F204DD" w:rsidRDefault="00B500A5" w:rsidP="00B500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Morinushi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T,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Lopatin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DE, Van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Poperin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N, Ueda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Y.The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relationship between gingivitis and colonization by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Porphyromonas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gingivalis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and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Actinobacillus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actinomycetemcomitans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in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children.J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F204DD">
        <w:rPr>
          <w:rFonts w:ascii="Arial" w:hAnsi="Arial" w:cs="Arial"/>
          <w:sz w:val="28"/>
          <w:szCs w:val="28"/>
          <w:lang w:val="en-US"/>
        </w:rPr>
        <w:t>Periodontol</w:t>
      </w:r>
      <w:proofErr w:type="spellEnd"/>
      <w:r w:rsidRPr="00F204DD">
        <w:rPr>
          <w:rFonts w:ascii="Arial" w:hAnsi="Arial" w:cs="Arial"/>
          <w:sz w:val="28"/>
          <w:szCs w:val="28"/>
          <w:lang w:val="en-US"/>
        </w:rPr>
        <w:t xml:space="preserve">. </w:t>
      </w:r>
      <w:r w:rsidRPr="00F204DD">
        <w:rPr>
          <w:rFonts w:ascii="Arial" w:hAnsi="Arial" w:cs="Arial"/>
          <w:sz w:val="28"/>
          <w:szCs w:val="28"/>
        </w:rPr>
        <w:t>2000 Mar; 71(3):403–9. https://doi.org/10.1902/jop.2000.71.3.403 PMID: 10776927.</w:t>
      </w:r>
    </w:p>
    <w:p w:rsidR="00B500A5" w:rsidRPr="00B500A5" w:rsidRDefault="00F47CCA" w:rsidP="00B500A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  <w:hyperlink r:id="rId7" w:history="1">
        <w:proofErr w:type="spellStart"/>
        <w:r w:rsidR="00B500A5" w:rsidRPr="00F204DD">
          <w:rPr>
            <w:rStyle w:val="Hipervnculo"/>
            <w:rFonts w:ascii="Arial" w:hAnsi="Arial" w:cs="Arial"/>
            <w:color w:val="000000" w:themeColor="text1"/>
            <w:sz w:val="28"/>
            <w:szCs w:val="28"/>
          </w:rPr>
          <w:t>Keiko</w:t>
        </w:r>
        <w:proofErr w:type="spellEnd"/>
        <w:r w:rsidR="00B500A5" w:rsidRPr="00F204DD">
          <w:rPr>
            <w:rStyle w:val="Hipervnculo"/>
            <w:rFonts w:ascii="Arial" w:hAnsi="Arial" w:cs="Arial"/>
            <w:color w:val="000000" w:themeColor="text1"/>
            <w:sz w:val="28"/>
            <w:szCs w:val="28"/>
          </w:rPr>
          <w:t xml:space="preserve"> </w:t>
        </w:r>
        <w:proofErr w:type="spellStart"/>
        <w:r w:rsidR="00B500A5" w:rsidRPr="00F204DD">
          <w:rPr>
            <w:rStyle w:val="Hipervnculo"/>
            <w:rFonts w:ascii="Arial" w:hAnsi="Arial" w:cs="Arial"/>
            <w:color w:val="000000" w:themeColor="text1"/>
            <w:sz w:val="28"/>
            <w:szCs w:val="28"/>
          </w:rPr>
          <w:t>Tsuruda</w:t>
        </w:r>
        <w:proofErr w:type="spellEnd"/>
      </w:hyperlink>
      <w:bookmarkStart w:id="0" w:name="_GoBack"/>
      <w:bookmarkEnd w:id="0"/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spellStart"/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fldChar w:fldCharType="begin"/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instrText xml:space="preserve"> HYPERLINK "https://onlinelibrary.wiley.com/action/doSearch?ContribAuthorStored=Miyake%2C+Yoichiro" </w:instrText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fldChar w:fldCharType="separate"/>
      </w:r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>Yoichiro</w:t>
      </w:r>
      <w:proofErr w:type="spellEnd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>Miyake</w:t>
      </w:r>
      <w:proofErr w:type="spellEnd"/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fldChar w:fldCharType="end"/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spellStart"/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fldChar w:fldCharType="begin"/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instrText xml:space="preserve"> HYPERLINK "https://onlinelibrary.wiley.com/action/doSearch?ContribAuthorStored=Suginaka%2C+Hidekazu" </w:instrText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fldChar w:fldCharType="separate"/>
      </w:r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>Hidekazu</w:t>
      </w:r>
      <w:proofErr w:type="spellEnd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>Suginaka</w:t>
      </w:r>
      <w:proofErr w:type="spellEnd"/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fldChar w:fldCharType="end"/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spellStart"/>
      <w:r w:rsidR="00B500A5" w:rsidRPr="00B500A5">
        <w:fldChar w:fldCharType="begin"/>
      </w:r>
      <w:r w:rsidR="00B500A5" w:rsidRPr="00B500A5">
        <w:rPr>
          <w:rFonts w:ascii="Arial" w:hAnsi="Arial" w:cs="Arial"/>
          <w:sz w:val="28"/>
          <w:szCs w:val="28"/>
        </w:rPr>
        <w:instrText xml:space="preserve"> HYPERLINK "https://onlinelibrary.wiley.com/action/doSearch?ContribAuthorStored=Okamoto%2C+Hiroshi" </w:instrText>
      </w:r>
      <w:r w:rsidR="00B500A5" w:rsidRPr="00B500A5">
        <w:fldChar w:fldCharType="separate"/>
      </w:r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>Hiroshi</w:t>
      </w:r>
      <w:proofErr w:type="spellEnd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t>Okamoto</w:t>
      </w:r>
      <w:proofErr w:type="spellEnd"/>
      <w:r w:rsidR="00B500A5" w:rsidRPr="00B500A5">
        <w:rPr>
          <w:rStyle w:val="Hipervnculo"/>
          <w:rFonts w:ascii="Arial" w:hAnsi="Arial" w:cs="Arial"/>
          <w:color w:val="000000" w:themeColor="text1"/>
          <w:sz w:val="28"/>
          <w:szCs w:val="28"/>
        </w:rPr>
        <w:fldChar w:fldCharType="end"/>
      </w:r>
      <w:r w:rsidR="00B500A5" w:rsidRPr="00B500A5">
        <w:rPr>
          <w:rFonts w:ascii="Arial" w:hAnsi="Arial" w:cs="Arial"/>
          <w:color w:val="000000" w:themeColor="text1"/>
          <w:sz w:val="28"/>
          <w:szCs w:val="28"/>
        </w:rPr>
        <w:t>.</w:t>
      </w:r>
      <w:r w:rsidR="00B500A5" w:rsidRPr="00B500A5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</w:t>
      </w:r>
      <w:r w:rsidR="00B500A5" w:rsidRPr="00B500A5">
        <w:rPr>
          <w:rFonts w:ascii="Arial" w:eastAsia="Times New Roman" w:hAnsi="Arial" w:cs="Arial"/>
          <w:bCs/>
          <w:color w:val="000000" w:themeColor="text1"/>
          <w:sz w:val="28"/>
          <w:szCs w:val="28"/>
          <w:lang w:val="en-US"/>
        </w:rPr>
        <w:t>Microbiological features of gingivitis in pubertal children.</w:t>
      </w:r>
      <w:r w:rsidR="00B500A5" w:rsidRPr="00B500A5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hyperlink r:id="rId8" w:history="1"/>
      <w:hyperlink r:id="rId9" w:history="1">
        <w:r w:rsidR="00B500A5" w:rsidRPr="00B500A5">
          <w:rPr>
            <w:rStyle w:val="Hipervnculo"/>
            <w:rFonts w:ascii="Arial" w:hAnsi="Arial" w:cs="Arial"/>
            <w:bCs/>
            <w:color w:val="000000" w:themeColor="text1"/>
            <w:sz w:val="28"/>
            <w:szCs w:val="28"/>
            <w:lang w:val="en-US"/>
          </w:rPr>
          <w:t>v.</w:t>
        </w:r>
        <w:r w:rsidR="00B500A5" w:rsidRPr="00B500A5">
          <w:rPr>
            <w:rStyle w:val="val"/>
            <w:rFonts w:ascii="Arial" w:hAnsi="Arial" w:cs="Arial"/>
            <w:bCs/>
            <w:color w:val="000000" w:themeColor="text1"/>
            <w:sz w:val="28"/>
            <w:szCs w:val="28"/>
            <w:lang w:val="en-US"/>
          </w:rPr>
          <w:t>22</w:t>
        </w:r>
        <w:r w:rsidR="00B500A5" w:rsidRPr="00B500A5">
          <w:rPr>
            <w:rStyle w:val="Hipervnculo"/>
            <w:rFonts w:ascii="Arial" w:hAnsi="Arial" w:cs="Arial"/>
            <w:bCs/>
            <w:color w:val="000000" w:themeColor="text1"/>
            <w:sz w:val="28"/>
            <w:szCs w:val="28"/>
            <w:lang w:val="en-US"/>
          </w:rPr>
          <w:t>,i.</w:t>
        </w:r>
        <w:r w:rsidR="00B500A5" w:rsidRPr="00B500A5">
          <w:rPr>
            <w:rStyle w:val="val"/>
            <w:rFonts w:ascii="Arial" w:hAnsi="Arial" w:cs="Arial"/>
            <w:bCs/>
            <w:color w:val="000000" w:themeColor="text1"/>
            <w:sz w:val="28"/>
            <w:szCs w:val="28"/>
            <w:lang w:val="en-US"/>
          </w:rPr>
          <w:t>4</w:t>
        </w:r>
      </w:hyperlink>
      <w:r w:rsidR="00B500A5" w:rsidRPr="00B500A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B500A5" w:rsidRPr="00B500A5">
        <w:rPr>
          <w:rFonts w:ascii="Arial" w:hAnsi="Arial" w:cs="Arial"/>
          <w:color w:val="000000" w:themeColor="text1"/>
          <w:sz w:val="28"/>
          <w:szCs w:val="28"/>
          <w:lang w:val="en-US"/>
        </w:rPr>
        <w:t>April.1995; 316-320</w:t>
      </w:r>
    </w:p>
    <w:p w:rsidR="00B500A5" w:rsidRPr="00B500A5" w:rsidRDefault="00B500A5">
      <w:pPr>
        <w:rPr>
          <w:lang w:val="en-US"/>
        </w:rPr>
      </w:pPr>
    </w:p>
    <w:sectPr w:rsidR="00B500A5" w:rsidRPr="00B50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vP41461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3135E"/>
    <w:multiLevelType w:val="hybridMultilevel"/>
    <w:tmpl w:val="B2D2C4CE"/>
    <w:lvl w:ilvl="0" w:tplc="30547B24">
      <w:start w:val="1"/>
      <w:numFmt w:val="decimal"/>
      <w:lvlText w:val="%1-"/>
      <w:lvlJc w:val="left"/>
      <w:pPr>
        <w:ind w:left="720" w:hanging="360"/>
      </w:pPr>
      <w:rPr>
        <w:rFonts w:ascii="AdvP41461E" w:hAnsi="AdvP41461E" w:cs="AdvP41461E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0A5"/>
    <w:rsid w:val="00780596"/>
    <w:rsid w:val="00B500A5"/>
    <w:rsid w:val="00F10E3B"/>
    <w:rsid w:val="00F204DD"/>
    <w:rsid w:val="00F4405E"/>
    <w:rsid w:val="00F4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0A5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500A5"/>
    <w:pPr>
      <w:ind w:left="720"/>
      <w:contextualSpacing/>
    </w:pPr>
    <w:rPr>
      <w:lang w:val="en-US"/>
    </w:rPr>
  </w:style>
  <w:style w:type="character" w:styleId="Hipervnculo">
    <w:name w:val="Hyperlink"/>
    <w:basedOn w:val="Fuentedeprrafopredeter"/>
    <w:uiPriority w:val="99"/>
    <w:unhideWhenUsed/>
    <w:rsid w:val="00B500A5"/>
    <w:rPr>
      <w:color w:val="0000FF" w:themeColor="hyperlink"/>
      <w:u w:val="single"/>
    </w:rPr>
  </w:style>
  <w:style w:type="character" w:customStyle="1" w:styleId="val">
    <w:name w:val="val"/>
    <w:basedOn w:val="Fuentedeprrafopredeter"/>
    <w:rsid w:val="00B500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0A5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500A5"/>
    <w:pPr>
      <w:ind w:left="720"/>
      <w:contextualSpacing/>
    </w:pPr>
    <w:rPr>
      <w:lang w:val="en-US"/>
    </w:rPr>
  </w:style>
  <w:style w:type="character" w:styleId="Hipervnculo">
    <w:name w:val="Hyperlink"/>
    <w:basedOn w:val="Fuentedeprrafopredeter"/>
    <w:uiPriority w:val="99"/>
    <w:unhideWhenUsed/>
    <w:rsid w:val="00B500A5"/>
    <w:rPr>
      <w:color w:val="0000FF" w:themeColor="hyperlink"/>
      <w:u w:val="single"/>
    </w:rPr>
  </w:style>
  <w:style w:type="character" w:customStyle="1" w:styleId="val">
    <w:name w:val="val"/>
    <w:basedOn w:val="Fuentedeprrafopredeter"/>
    <w:rsid w:val="00B50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action/doSearch?ContribAuthorStored=Iwamoto%2C+Yoshifum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nlinelibrary.wiley.com/action/doSearch?ContribAuthorStored=Tsuruda%2C+Kei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linelibrary.wiley.com/toc/1600051x/1995/22/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nickojr</dc:creator>
  <cp:lastModifiedBy>nickojr</cp:lastModifiedBy>
  <cp:revision>2</cp:revision>
  <dcterms:created xsi:type="dcterms:W3CDTF">2019-10-25T13:08:00Z</dcterms:created>
  <dcterms:modified xsi:type="dcterms:W3CDTF">2019-10-25T13:08:00Z</dcterms:modified>
</cp:coreProperties>
</file>