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3795E" w:rsidP="00494130">
      <w:pPr>
        <w:pStyle w:val="Heading1"/>
        <w:spacing w:before="170"/>
        <w:ind w:left="0"/>
        <w:rPr>
          <w:color w:val="337AB7"/>
        </w:rPr>
      </w:pPr>
      <w:r>
        <w:rPr>
          <w:color w:val="337AB7"/>
        </w:rPr>
        <w:t xml:space="preserve">Geriatric Oral Health is a Public Health urgency </w:t>
      </w:r>
    </w:p>
    <w:p w:rsidR="0003795E" w:rsidRPr="0003795E" w:rsidRDefault="0003795E" w:rsidP="0003795E">
      <w:pPr>
        <w:pStyle w:val="HTMLPreformatted"/>
        <w:jc w:val="both"/>
        <w:rPr>
          <w:rFonts w:ascii="Times New Roman" w:hAnsi="Times New Roman" w:cs="Times New Roman"/>
          <w:sz w:val="24"/>
          <w:szCs w:val="24"/>
        </w:rPr>
      </w:pPr>
      <w:r w:rsidRPr="0003795E">
        <w:rPr>
          <w:rFonts w:ascii="Times New Roman" w:hAnsi="Times New Roman" w:cs="Times New Roman"/>
          <w:sz w:val="24"/>
          <w:szCs w:val="24"/>
        </w:rPr>
        <w:t>Maryam Tabrizi DMD, MPH- The University of Texas School of Dentistry at Houston,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03795E" w:rsidRPr="00F06EA7" w:rsidRDefault="0003795E" w:rsidP="0003795E">
      <w:pPr>
        <w:rPr>
          <w:rFonts w:ascii="Times New Roman" w:hAnsi="Times New Roman" w:cs="Times New Roman"/>
          <w:sz w:val="20"/>
          <w:szCs w:val="20"/>
        </w:rPr>
      </w:pPr>
      <w:r w:rsidRPr="00F06EA7">
        <w:rPr>
          <w:rFonts w:ascii="Times New Roman" w:hAnsi="Times New Roman" w:cs="Times New Roman"/>
          <w:sz w:val="20"/>
          <w:szCs w:val="20"/>
        </w:rPr>
        <w:t xml:space="preserve">Geriatric oral health is a serious global Public Health issue. Currently, there are over 600 million individuals 60 y/o and over by 2050, this number will rise to 2 billion worldwide.  Oral health is the most neglected area of their health care. They face lack of oral health maintenance, lack of access, ability and availability to oral care. In addition, increasing new root carries and periodontal disease due xerostomia. The elderly in long-term care with physical and cognitive disabilities are at higher risk. This population is at higher risk for oral cancer and many do not receive routine oral health maintenance. It is urgent to educate the entire health care team for this serious health issue. Initiate research, develop guidelines eventually provide access oral health and overall health equally for care.  Guidelines to differentiate ideal dental treatments and rational dental treatments, oral assessments and evaluation within the standard of care according to World Health Organization to minimize serious oral health diseases and improve function. </w:t>
      </w:r>
    </w:p>
    <w:p w:rsidR="00F06EA7" w:rsidRPr="00F06EA7" w:rsidRDefault="00F06EA7" w:rsidP="00F06EA7">
      <w:pPr>
        <w:rPr>
          <w:rFonts w:ascii="Times New Roman" w:hAnsi="Times New Roman" w:cs="Times New Roman"/>
          <w:bCs/>
          <w:sz w:val="20"/>
          <w:szCs w:val="20"/>
        </w:rPr>
      </w:pPr>
      <w:r w:rsidRPr="00F06EA7">
        <w:rPr>
          <w:rFonts w:ascii="Times New Roman" w:hAnsi="Times New Roman" w:cs="Times New Roman"/>
          <w:bCs/>
          <w:sz w:val="20"/>
          <w:szCs w:val="20"/>
        </w:rPr>
        <w:t>Associated with aging is an increase in the incidence and prevalence of age-related comorbidities (i.e. heart disease, hypertension, diabetes, arthritic conditions, etc.) along with a decline in physiologic functioning of the individual.  A significant and increasingly common age-related disorder is dementia manifested as a slow, progressive decline in cognitive functions (i.e. intellectual abilities, impairment of memory, abstract thinking, and judgment).  The causes of dementia may be varied but the most common cause of dementia is associated with Alzheimer’s disease (AD) .This</w:t>
      </w:r>
      <w:r>
        <w:rPr>
          <w:rFonts w:ascii="Times New Roman" w:hAnsi="Times New Roman" w:cs="Times New Roman"/>
          <w:bCs/>
          <w:sz w:val="20"/>
          <w:szCs w:val="20"/>
        </w:rPr>
        <w:t xml:space="preserve"> poster will</w:t>
      </w:r>
      <w:r w:rsidRPr="00F06EA7">
        <w:rPr>
          <w:rFonts w:ascii="Times New Roman" w:hAnsi="Times New Roman" w:cs="Times New Roman"/>
          <w:bCs/>
          <w:sz w:val="20"/>
          <w:szCs w:val="20"/>
        </w:rPr>
        <w:t xml:space="preserve"> presents</w:t>
      </w:r>
      <w:r>
        <w:rPr>
          <w:rFonts w:ascii="Times New Roman" w:hAnsi="Times New Roman" w:cs="Times New Roman"/>
          <w:bCs/>
          <w:sz w:val="20"/>
          <w:szCs w:val="20"/>
        </w:rPr>
        <w:t xml:space="preserve"> if accepted,</w:t>
      </w:r>
      <w:r w:rsidRPr="00F06EA7">
        <w:rPr>
          <w:rFonts w:ascii="Times New Roman" w:hAnsi="Times New Roman" w:cs="Times New Roman"/>
          <w:bCs/>
          <w:sz w:val="20"/>
          <w:szCs w:val="20"/>
        </w:rPr>
        <w:t xml:space="preserve"> a case report and review of the issues and challenges associated with management of the dental patient with AD.   Practicing dentistry is no longer limited to oral cavity, dentists are “oral health physicians” who must be aware of overall condition and treat them accordingly.         </w:t>
      </w:r>
    </w:p>
    <w:p w:rsidR="00AE3E37" w:rsidRDefault="00A9710C">
      <w:pPr>
        <w:pStyle w:val="Heading3"/>
        <w:spacing w:before="74"/>
        <w:rPr>
          <w:color w:val="BF5A14"/>
        </w:rPr>
      </w:pPr>
      <w:r>
        <w:rPr>
          <w:b w:val="0"/>
        </w:rPr>
        <w:br w:type="column"/>
      </w:r>
      <w:r>
        <w:rPr>
          <w:color w:val="BF5A14"/>
        </w:rPr>
        <w:t>Image</w:t>
      </w:r>
    </w:p>
    <w:p w:rsidR="0003795E" w:rsidRDefault="0003795E">
      <w:pPr>
        <w:pStyle w:val="Heading3"/>
        <w:spacing w:before="74"/>
      </w:pPr>
      <w:r>
        <w:rPr>
          <w:b w:val="0"/>
          <w:noProof/>
          <w:sz w:val="16"/>
        </w:rPr>
        <w:drawing>
          <wp:inline distT="0" distB="0" distL="0" distR="0" wp14:anchorId="452C0160" wp14:editId="443D8A94">
            <wp:extent cx="2996586" cy="1714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6126" cy="1725680"/>
                    </a:xfrm>
                    <a:prstGeom prst="rect">
                      <a:avLst/>
                    </a:prstGeom>
                    <a:noFill/>
                  </pic:spPr>
                </pic:pic>
              </a:graphicData>
            </a:graphic>
          </wp:inline>
        </w:drawing>
      </w:r>
      <w:bookmarkStart w:id="0" w:name="_GoBack"/>
      <w:bookmarkEnd w:id="0"/>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Pr="00F06EA7" w:rsidRDefault="00F06EA7" w:rsidP="005973B9">
      <w:pPr>
        <w:pStyle w:val="ListParagraph"/>
        <w:numPr>
          <w:ilvl w:val="0"/>
          <w:numId w:val="3"/>
        </w:numPr>
        <w:tabs>
          <w:tab w:val="left" w:pos="384"/>
        </w:tabs>
        <w:spacing w:before="103" w:line="216" w:lineRule="exact"/>
        <w:ind w:right="138" w:hanging="283"/>
        <w:rPr>
          <w:rFonts w:ascii="Times New Roman" w:hAnsi="Times New Roman" w:cs="Times New Roman"/>
          <w:sz w:val="16"/>
          <w:szCs w:val="16"/>
        </w:rPr>
      </w:pPr>
      <w:proofErr w:type="spellStart"/>
      <w:r w:rsidRPr="00F06EA7">
        <w:rPr>
          <w:rFonts w:ascii="Times New Roman" w:hAnsi="Times New Roman" w:cs="Times New Roman"/>
          <w:sz w:val="16"/>
          <w:szCs w:val="16"/>
          <w:shd w:val="clear" w:color="auto" w:fill="FFFFFF"/>
        </w:rPr>
        <w:t>Ortman</w:t>
      </w:r>
      <w:proofErr w:type="spellEnd"/>
      <w:r w:rsidRPr="00F06EA7">
        <w:rPr>
          <w:rFonts w:ascii="Times New Roman" w:hAnsi="Times New Roman" w:cs="Times New Roman"/>
          <w:sz w:val="16"/>
          <w:szCs w:val="16"/>
          <w:shd w:val="clear" w:color="auto" w:fill="FFFFFF"/>
        </w:rPr>
        <w:t xml:space="preserve"> JM, </w:t>
      </w:r>
      <w:proofErr w:type="spellStart"/>
      <w:r w:rsidRPr="00F06EA7">
        <w:rPr>
          <w:rFonts w:ascii="Times New Roman" w:hAnsi="Times New Roman" w:cs="Times New Roman"/>
          <w:sz w:val="16"/>
          <w:szCs w:val="16"/>
          <w:shd w:val="clear" w:color="auto" w:fill="FFFFFF"/>
        </w:rPr>
        <w:t>Velkoff</w:t>
      </w:r>
      <w:proofErr w:type="spellEnd"/>
      <w:r w:rsidRPr="00F06EA7">
        <w:rPr>
          <w:rFonts w:ascii="Times New Roman" w:hAnsi="Times New Roman" w:cs="Times New Roman"/>
          <w:sz w:val="16"/>
          <w:szCs w:val="16"/>
          <w:shd w:val="clear" w:color="auto" w:fill="FFFFFF"/>
        </w:rPr>
        <w:t xml:space="preserve"> VA, Hogan H. An aging nation: the older population in the U</w:t>
      </w:r>
      <w:r w:rsidRPr="00F06EA7">
        <w:rPr>
          <w:rFonts w:ascii="Times New Roman" w:hAnsi="Times New Roman" w:cs="Times New Roman"/>
          <w:sz w:val="16"/>
          <w:szCs w:val="16"/>
          <w:shd w:val="clear" w:color="auto" w:fill="FFFFFF"/>
        </w:rPr>
        <w:t xml:space="preserve">nited States. Washington, DC: United States </w:t>
      </w:r>
      <w:r w:rsidRPr="00F06EA7">
        <w:rPr>
          <w:rFonts w:ascii="Times New Roman" w:hAnsi="Times New Roman" w:cs="Times New Roman"/>
          <w:sz w:val="16"/>
          <w:szCs w:val="16"/>
          <w:shd w:val="clear" w:color="auto" w:fill="FFFFFF"/>
        </w:rPr>
        <w:t>Census Bureau, Economics and Statistics Administration, US Department of Commerce; 2014 May 9</w:t>
      </w:r>
      <w:r w:rsidRPr="00F06EA7">
        <w:rPr>
          <w:rFonts w:ascii="Times New Roman" w:hAnsi="Times New Roman" w:cs="Times New Roman"/>
          <w:sz w:val="16"/>
          <w:szCs w:val="16"/>
          <w:shd w:val="clear" w:color="auto" w:fill="FFFFFF"/>
        </w:rPr>
        <w:t xml:space="preserve"> </w:t>
      </w:r>
    </w:p>
    <w:p w:rsidR="005973B9" w:rsidRPr="00F06EA7" w:rsidRDefault="00F06EA7" w:rsidP="005973B9">
      <w:pPr>
        <w:pStyle w:val="ListParagraph"/>
        <w:numPr>
          <w:ilvl w:val="0"/>
          <w:numId w:val="3"/>
        </w:numPr>
        <w:tabs>
          <w:tab w:val="left" w:pos="384"/>
        </w:tabs>
        <w:spacing w:line="216" w:lineRule="exact"/>
        <w:ind w:right="137" w:hanging="283"/>
        <w:rPr>
          <w:rFonts w:ascii="Times New Roman" w:hAnsi="Times New Roman" w:cs="Times New Roman"/>
          <w:sz w:val="16"/>
          <w:szCs w:val="16"/>
        </w:rPr>
      </w:pPr>
      <w:r w:rsidRPr="00F06EA7">
        <w:rPr>
          <w:rFonts w:ascii="Times New Roman" w:hAnsi="Times New Roman" w:cs="Times New Roman"/>
          <w:sz w:val="16"/>
          <w:szCs w:val="16"/>
          <w:shd w:val="clear" w:color="auto" w:fill="FFFFFF"/>
        </w:rPr>
        <w:t xml:space="preserve">Birks JS, Harvey RJ. Donepezil for dementia due to Alzheimer's disease. Cochrane Database </w:t>
      </w:r>
      <w:proofErr w:type="gramStart"/>
      <w:r w:rsidRPr="00F06EA7">
        <w:rPr>
          <w:rFonts w:ascii="Times New Roman" w:hAnsi="Times New Roman" w:cs="Times New Roman"/>
          <w:sz w:val="16"/>
          <w:szCs w:val="16"/>
          <w:shd w:val="clear" w:color="auto" w:fill="FFFFFF"/>
        </w:rPr>
        <w:t>of  systematic</w:t>
      </w:r>
      <w:proofErr w:type="gramEnd"/>
      <w:r w:rsidRPr="00F06EA7">
        <w:rPr>
          <w:rFonts w:ascii="Times New Roman" w:hAnsi="Times New Roman" w:cs="Times New Roman"/>
          <w:sz w:val="16"/>
          <w:szCs w:val="16"/>
          <w:shd w:val="clear" w:color="auto" w:fill="FFFFFF"/>
        </w:rPr>
        <w:t xml:space="preserve"> reviews. 2018(6</w:t>
      </w:r>
    </w:p>
    <w:p w:rsidR="00F06EA7" w:rsidRPr="00F06EA7" w:rsidRDefault="00F06EA7" w:rsidP="00F06EA7">
      <w:pPr>
        <w:pStyle w:val="ListParagraph"/>
        <w:numPr>
          <w:ilvl w:val="0"/>
          <w:numId w:val="3"/>
        </w:numPr>
        <w:rPr>
          <w:rFonts w:ascii="Times New Roman" w:hAnsi="Times New Roman" w:cs="Times New Roman"/>
          <w:sz w:val="16"/>
          <w:szCs w:val="16"/>
          <w:shd w:val="clear" w:color="auto" w:fill="FFFFFF"/>
        </w:rPr>
      </w:pPr>
      <w:r w:rsidRPr="00F06EA7">
        <w:rPr>
          <w:rFonts w:ascii="Arial" w:hAnsi="Arial" w:cs="Arial"/>
          <w:sz w:val="18"/>
          <w:szCs w:val="18"/>
          <w:shd w:val="clear" w:color="auto" w:fill="FFFFFF"/>
        </w:rPr>
        <w:t xml:space="preserve"> </w:t>
      </w:r>
      <w:r w:rsidRPr="00F06EA7">
        <w:rPr>
          <w:rFonts w:ascii="Times New Roman" w:hAnsi="Times New Roman" w:cs="Times New Roman"/>
          <w:sz w:val="16"/>
          <w:szCs w:val="16"/>
          <w:shd w:val="clear" w:color="auto" w:fill="FFFFFF"/>
        </w:rPr>
        <w:t xml:space="preserve">Branch LG, </w:t>
      </w:r>
      <w:proofErr w:type="spellStart"/>
      <w:r w:rsidRPr="00F06EA7">
        <w:rPr>
          <w:rFonts w:ascii="Times New Roman" w:hAnsi="Times New Roman" w:cs="Times New Roman"/>
          <w:sz w:val="16"/>
          <w:szCs w:val="16"/>
          <w:shd w:val="clear" w:color="auto" w:fill="FFFFFF"/>
        </w:rPr>
        <w:t>Meng</w:t>
      </w:r>
      <w:proofErr w:type="spellEnd"/>
      <w:r w:rsidRPr="00F06EA7">
        <w:rPr>
          <w:rFonts w:ascii="Times New Roman" w:hAnsi="Times New Roman" w:cs="Times New Roman"/>
          <w:sz w:val="16"/>
          <w:szCs w:val="16"/>
          <w:shd w:val="clear" w:color="auto" w:fill="FFFFFF"/>
        </w:rPr>
        <w:t xml:space="preserve"> H, </w:t>
      </w:r>
      <w:proofErr w:type="spellStart"/>
      <w:r w:rsidRPr="00F06EA7">
        <w:rPr>
          <w:rFonts w:ascii="Times New Roman" w:hAnsi="Times New Roman" w:cs="Times New Roman"/>
          <w:sz w:val="16"/>
          <w:szCs w:val="16"/>
          <w:shd w:val="clear" w:color="auto" w:fill="FFFFFF"/>
        </w:rPr>
        <w:t>Guralnik</w:t>
      </w:r>
      <w:proofErr w:type="spellEnd"/>
      <w:r w:rsidRPr="00F06EA7">
        <w:rPr>
          <w:rFonts w:ascii="Times New Roman" w:hAnsi="Times New Roman" w:cs="Times New Roman"/>
          <w:sz w:val="16"/>
          <w:szCs w:val="16"/>
          <w:shd w:val="clear" w:color="auto" w:fill="FFFFFF"/>
        </w:rPr>
        <w:t xml:space="preserve"> JM. Disability and functional status. In: </w:t>
      </w:r>
      <w:proofErr w:type="spellStart"/>
      <w:r w:rsidRPr="00F06EA7">
        <w:rPr>
          <w:rFonts w:ascii="Times New Roman" w:hAnsi="Times New Roman" w:cs="Times New Roman"/>
          <w:sz w:val="16"/>
          <w:szCs w:val="16"/>
          <w:shd w:val="clear" w:color="auto" w:fill="FFFFFF"/>
        </w:rPr>
        <w:t>Prohaska</w:t>
      </w:r>
      <w:proofErr w:type="spellEnd"/>
      <w:r w:rsidRPr="00F06EA7">
        <w:rPr>
          <w:rFonts w:ascii="Times New Roman" w:hAnsi="Times New Roman" w:cs="Times New Roman"/>
          <w:sz w:val="16"/>
          <w:szCs w:val="16"/>
          <w:shd w:val="clear" w:color="auto" w:fill="FFFFFF"/>
        </w:rPr>
        <w:t xml:space="preserve"> T, Anderson LA, </w:t>
      </w:r>
      <w:proofErr w:type="spellStart"/>
      <w:r w:rsidRPr="00F06EA7">
        <w:rPr>
          <w:rFonts w:ascii="Times New Roman" w:hAnsi="Times New Roman" w:cs="Times New Roman"/>
          <w:sz w:val="16"/>
          <w:szCs w:val="16"/>
          <w:shd w:val="clear" w:color="auto" w:fill="FFFFFF"/>
        </w:rPr>
        <w:t>Binstock</w:t>
      </w:r>
      <w:proofErr w:type="spellEnd"/>
      <w:r w:rsidRPr="00F06EA7">
        <w:rPr>
          <w:rFonts w:ascii="Times New Roman" w:hAnsi="Times New Roman" w:cs="Times New Roman"/>
          <w:sz w:val="16"/>
          <w:szCs w:val="16"/>
          <w:shd w:val="clear" w:color="auto" w:fill="FFFFFF"/>
        </w:rPr>
        <w:t xml:space="preserve"> R, eds. Public Health for an Aging Society. Baltimore, MD: Johns Hopkins University Press; 2012.</w:t>
      </w:r>
    </w:p>
    <w:p w:rsidR="005973B9" w:rsidRPr="007A404F" w:rsidRDefault="007A404F" w:rsidP="007A404F">
      <w:pPr>
        <w:pStyle w:val="ListParagraph"/>
        <w:numPr>
          <w:ilvl w:val="0"/>
          <w:numId w:val="3"/>
        </w:numPr>
        <w:rPr>
          <w:rFonts w:ascii="Times New Roman" w:hAnsi="Times New Roman" w:cs="Times New Roman"/>
          <w:sz w:val="16"/>
          <w:szCs w:val="16"/>
        </w:rPr>
      </w:pPr>
      <w:proofErr w:type="spellStart"/>
      <w:r w:rsidRPr="007A404F">
        <w:rPr>
          <w:rFonts w:ascii="Times New Roman" w:hAnsi="Times New Roman" w:cs="Times New Roman"/>
          <w:sz w:val="16"/>
          <w:szCs w:val="16"/>
          <w:shd w:val="clear" w:color="auto" w:fill="FFFFFF"/>
        </w:rPr>
        <w:t>Syrjälä</w:t>
      </w:r>
      <w:proofErr w:type="spellEnd"/>
      <w:r w:rsidRPr="007A404F">
        <w:rPr>
          <w:rFonts w:ascii="Times New Roman" w:hAnsi="Times New Roman" w:cs="Times New Roman"/>
          <w:sz w:val="16"/>
          <w:szCs w:val="16"/>
          <w:shd w:val="clear" w:color="auto" w:fill="FFFFFF"/>
        </w:rPr>
        <w:t>, Anna‐</w:t>
      </w:r>
      <w:proofErr w:type="spellStart"/>
      <w:r>
        <w:rPr>
          <w:rFonts w:ascii="Times New Roman" w:hAnsi="Times New Roman" w:cs="Times New Roman"/>
          <w:sz w:val="16"/>
          <w:szCs w:val="16"/>
          <w:shd w:val="clear" w:color="auto" w:fill="FFFFFF"/>
        </w:rPr>
        <w:t>Maija</w:t>
      </w:r>
      <w:proofErr w:type="spellEnd"/>
      <w:r>
        <w:rPr>
          <w:rFonts w:ascii="Times New Roman" w:hAnsi="Times New Roman" w:cs="Times New Roman"/>
          <w:sz w:val="16"/>
          <w:szCs w:val="16"/>
          <w:shd w:val="clear" w:color="auto" w:fill="FFFFFF"/>
        </w:rPr>
        <w:t xml:space="preserve"> </w:t>
      </w:r>
      <w:proofErr w:type="spellStart"/>
      <w:r>
        <w:rPr>
          <w:rFonts w:ascii="Times New Roman" w:hAnsi="Times New Roman" w:cs="Times New Roman"/>
          <w:sz w:val="16"/>
          <w:szCs w:val="16"/>
          <w:shd w:val="clear" w:color="auto" w:fill="FFFFFF"/>
        </w:rPr>
        <w:t>Hannele</w:t>
      </w:r>
      <w:proofErr w:type="spellEnd"/>
      <w:r>
        <w:rPr>
          <w:rFonts w:ascii="Times New Roman" w:hAnsi="Times New Roman" w:cs="Times New Roman"/>
          <w:sz w:val="16"/>
          <w:szCs w:val="16"/>
          <w:shd w:val="clear" w:color="auto" w:fill="FFFFFF"/>
        </w:rPr>
        <w:t>, et al</w:t>
      </w:r>
      <w:r w:rsidRPr="007A404F">
        <w:rPr>
          <w:rFonts w:ascii="Times New Roman" w:hAnsi="Times New Roman" w:cs="Times New Roman"/>
          <w:sz w:val="16"/>
          <w:szCs w:val="16"/>
          <w:shd w:val="clear" w:color="auto" w:fill="FFFFFF"/>
        </w:rPr>
        <w:t xml:space="preserve"> "Dementia and oral health among subjects aged 75 years or older." </w:t>
      </w:r>
      <w:proofErr w:type="spellStart"/>
      <w:r w:rsidRPr="007A404F">
        <w:rPr>
          <w:rFonts w:ascii="Times New Roman" w:hAnsi="Times New Roman" w:cs="Times New Roman"/>
          <w:i/>
          <w:iCs/>
          <w:sz w:val="16"/>
          <w:szCs w:val="16"/>
          <w:shd w:val="clear" w:color="auto" w:fill="FFFFFF"/>
        </w:rPr>
        <w:t>Gerodontology</w:t>
      </w:r>
      <w:proofErr w:type="spellEnd"/>
      <w:r w:rsidRPr="007A404F">
        <w:rPr>
          <w:rFonts w:ascii="Times New Roman" w:hAnsi="Times New Roman" w:cs="Times New Roman"/>
          <w:sz w:val="16"/>
          <w:szCs w:val="16"/>
          <w:shd w:val="clear" w:color="auto" w:fill="FFFFFF"/>
        </w:rPr>
        <w:t xml:space="preserve"> 29.1 (2012): 36-42 </w:t>
      </w:r>
      <w:r w:rsidRPr="007A404F" w:rsidDel="003537E6">
        <w:rPr>
          <w:rFonts w:ascii="Times New Roman" w:hAnsi="Times New Roman" w:cs="Times New Roman"/>
          <w:sz w:val="16"/>
          <w:szCs w:val="16"/>
        </w:rPr>
        <w:t xml:space="preserve"> </w:t>
      </w:r>
      <w:r w:rsidRPr="007A404F">
        <w:rPr>
          <w:rFonts w:ascii="Times New Roman" w:hAnsi="Times New Roman" w:cs="Times New Roman"/>
          <w:sz w:val="16"/>
          <w:szCs w:val="16"/>
          <w:vertAlign w:val="superscript"/>
        </w:rPr>
        <w:t xml:space="preserve"> </w:t>
      </w:r>
    </w:p>
    <w:p w:rsidR="007A404F" w:rsidRPr="007A404F" w:rsidRDefault="005973B9" w:rsidP="007A404F">
      <w:pPr>
        <w:pStyle w:val="BodyText"/>
        <w:spacing w:before="85" w:line="216" w:lineRule="exact"/>
        <w:ind w:left="383" w:right="138" w:hanging="284"/>
        <w:jc w:val="both"/>
        <w:rPr>
          <w:rFonts w:ascii="Calibri" w:hAnsi="Calibri"/>
        </w:rPr>
      </w:pPr>
      <w:proofErr w:type="gramStart"/>
      <w:r>
        <w:rPr>
          <w:rFonts w:ascii="Calibri" w:hAnsi="Calibri"/>
        </w:rPr>
        <w:t xml:space="preserve">5. </w:t>
      </w:r>
      <w:r w:rsidR="007A404F" w:rsidRPr="007A404F">
        <w:rPr>
          <w:rFonts w:ascii="Calibri" w:hAnsi="Calibri"/>
        </w:rPr>
        <w:t>.</w:t>
      </w:r>
      <w:proofErr w:type="gramEnd"/>
      <w:r w:rsidR="007A404F" w:rsidRPr="007A404F">
        <w:rPr>
          <w:rFonts w:ascii="Calibri" w:hAnsi="Calibri"/>
        </w:rPr>
        <w:t xml:space="preserve"> Wolff A, Joshi RK, </w:t>
      </w:r>
      <w:proofErr w:type="spellStart"/>
      <w:r w:rsidR="007A404F" w:rsidRPr="007A404F">
        <w:rPr>
          <w:rFonts w:ascii="Calibri" w:hAnsi="Calibri"/>
        </w:rPr>
        <w:t>Ekström</w:t>
      </w:r>
      <w:proofErr w:type="spellEnd"/>
      <w:r w:rsidR="007A404F" w:rsidRPr="007A404F">
        <w:rPr>
          <w:rFonts w:ascii="Calibri" w:hAnsi="Calibri"/>
        </w:rPr>
        <w:t xml:space="preserve"> J, </w:t>
      </w:r>
      <w:proofErr w:type="spellStart"/>
      <w:r w:rsidR="007A404F" w:rsidRPr="007A404F">
        <w:rPr>
          <w:rFonts w:ascii="Calibri" w:hAnsi="Calibri"/>
        </w:rPr>
        <w:t>Aframian</w:t>
      </w:r>
      <w:proofErr w:type="spellEnd"/>
      <w:r w:rsidR="007A404F" w:rsidRPr="007A404F">
        <w:rPr>
          <w:rFonts w:ascii="Calibri" w:hAnsi="Calibri"/>
        </w:rPr>
        <w:t xml:space="preserve"> D, Pedersen AM, Proctor G, Narayana N, Villa A, </w:t>
      </w:r>
      <w:proofErr w:type="spellStart"/>
      <w:r w:rsidR="007A404F" w:rsidRPr="007A404F">
        <w:rPr>
          <w:rFonts w:ascii="Calibri" w:hAnsi="Calibri"/>
        </w:rPr>
        <w:t>Sia</w:t>
      </w:r>
      <w:proofErr w:type="spellEnd"/>
      <w:r w:rsidR="007A404F" w:rsidRPr="007A404F">
        <w:rPr>
          <w:rFonts w:ascii="Calibri" w:hAnsi="Calibri"/>
        </w:rPr>
        <w:t xml:space="preserve"> YW, Aliko A, McGowan R. A guide to medications inducing salivary gland dysfunction, xerostomia, and subjective </w:t>
      </w:r>
      <w:proofErr w:type="spellStart"/>
      <w:r w:rsidR="007A404F" w:rsidRPr="007A404F">
        <w:rPr>
          <w:rFonts w:ascii="Calibri" w:hAnsi="Calibri"/>
        </w:rPr>
        <w:t>sialorrhea</w:t>
      </w:r>
      <w:proofErr w:type="spellEnd"/>
      <w:r w:rsidR="007A404F" w:rsidRPr="007A404F">
        <w:rPr>
          <w:rFonts w:ascii="Calibri" w:hAnsi="Calibri"/>
        </w:rPr>
        <w:t xml:space="preserve">: a systematic review sponsored by the world workshop on oral medicine VI. Drugs in </w:t>
      </w:r>
      <w:proofErr w:type="spellStart"/>
      <w:r w:rsidR="007A404F" w:rsidRPr="007A404F">
        <w:rPr>
          <w:rFonts w:ascii="Calibri" w:hAnsi="Calibri"/>
        </w:rPr>
        <w:t>R&amp;d</w:t>
      </w:r>
      <w:proofErr w:type="spellEnd"/>
      <w:r w:rsidR="007A404F" w:rsidRPr="007A404F">
        <w:rPr>
          <w:rFonts w:ascii="Calibri" w:hAnsi="Calibri"/>
        </w:rPr>
        <w:t>. 2017 Mar 1</w:t>
      </w:r>
      <w:proofErr w:type="gramStart"/>
      <w:r w:rsidR="007A404F" w:rsidRPr="007A404F">
        <w:rPr>
          <w:rFonts w:ascii="Calibri" w:hAnsi="Calibri"/>
        </w:rPr>
        <w:t>;17</w:t>
      </w:r>
      <w:proofErr w:type="gramEnd"/>
      <w:r w:rsidR="007A404F" w:rsidRPr="007A404F">
        <w:rPr>
          <w:rFonts w:ascii="Calibri" w:hAnsi="Calibri"/>
        </w:rPr>
        <w:t>(1):1-28..</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F8DBE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3795E" w:rsidRPr="0003795E" w:rsidRDefault="008756E6" w:rsidP="00404E5B">
      <w:pPr>
        <w:spacing w:before="92"/>
        <w:ind w:right="4234"/>
        <w:rPr>
          <w:rFonts w:ascii="Arial"/>
          <w:color w:val="BF5A14"/>
        </w:rPr>
      </w:pPr>
      <w:r>
        <w:rPr>
          <w:noProof/>
        </w:rPr>
        <w:t xml:space="preserve">           </w:t>
      </w:r>
      <w:r w:rsidR="0003795E" w:rsidRPr="003A4B11">
        <w:rPr>
          <w:noProof/>
        </w:rPr>
        <w:drawing>
          <wp:inline distT="0" distB="0" distL="0" distR="0" wp14:anchorId="30A07D74" wp14:editId="17F99626">
            <wp:extent cx="631190" cy="883665"/>
            <wp:effectExtent l="0" t="0" r="0" b="0"/>
            <wp:docPr id="3" name="Picture 3" descr="C:\Users\mtabrizi1\Desktop\Tabrizi. Maryam-head sh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tabrizi1\Desktop\Tabrizi. Maryam-head sho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6878" cy="975629"/>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03795E" w:rsidRPr="0003795E" w:rsidRDefault="0003795E" w:rsidP="0003795E">
      <w:pPr>
        <w:rPr>
          <w:rFonts w:ascii="Times New Roman" w:hAnsi="Times New Roman" w:cs="Times New Roman"/>
          <w:iCs/>
          <w:sz w:val="20"/>
          <w:szCs w:val="20"/>
        </w:rPr>
      </w:pPr>
      <w:proofErr w:type="spellStart"/>
      <w:r w:rsidRPr="0003795E">
        <w:rPr>
          <w:rFonts w:ascii="Times New Roman" w:hAnsi="Times New Roman" w:cs="Times New Roman"/>
          <w:iCs/>
          <w:sz w:val="20"/>
          <w:szCs w:val="20"/>
          <w:lang w:val="en-GB"/>
        </w:rPr>
        <w:t>Dr.</w:t>
      </w:r>
      <w:proofErr w:type="spellEnd"/>
      <w:r w:rsidRPr="0003795E">
        <w:rPr>
          <w:rFonts w:ascii="Times New Roman" w:hAnsi="Times New Roman" w:cs="Times New Roman"/>
          <w:iCs/>
          <w:sz w:val="20"/>
          <w:szCs w:val="20"/>
          <w:lang w:val="en-GB"/>
        </w:rPr>
        <w:t xml:space="preserve"> Tabrizi has completed her Master of Public Health-MPH at</w:t>
      </w:r>
      <w:r w:rsidRPr="0003795E">
        <w:rPr>
          <w:rFonts w:ascii="Times New Roman" w:hAnsi="Times New Roman" w:cs="Times New Roman"/>
          <w:iCs/>
          <w:sz w:val="20"/>
          <w:szCs w:val="20"/>
        </w:rPr>
        <w:t xml:space="preserve"> Temple University collage of Public Health at Philadelphia, PA 2014. She has received her Doctor of Dental Medicine-DMD at Temple University School of Dentistry at Philadelphia, PA 1991. She is an Assistant professor at The Texas University School of Dentistry at Houston, Dep of General Dentistry and Public Health, where she is the director of Geriatric educational students’ rotation. She has published papers in reputed journals on the topic of Geriatrics dentistry. </w:t>
      </w:r>
      <w:r w:rsidRPr="0003795E">
        <w:rPr>
          <w:rFonts w:ascii="Times New Roman" w:hAnsi="Times New Roman" w:cs="Times New Roman"/>
          <w:iCs/>
          <w:sz w:val="20"/>
          <w:szCs w:val="20"/>
          <w:lang w:val="en-GB"/>
        </w:rPr>
        <w:t xml:space="preserve">She is holding leadership positions in </w:t>
      </w:r>
      <w:r w:rsidRPr="0003795E">
        <w:rPr>
          <w:rFonts w:ascii="Times New Roman" w:hAnsi="Times New Roman" w:cs="Times New Roman"/>
          <w:iCs/>
          <w:sz w:val="20"/>
          <w:szCs w:val="20"/>
        </w:rPr>
        <w:t xml:space="preserve">American Public Health Association (APHA), American Dental Education Association (ADEA) Geriatric Dentistry section and an active member of Special Care Dental Association (SCDA). American Association of Public Health Dentistry (AAPHD). Her focus is to bringing Oral Health and Overall Health together to improve oral health and the quality of life of the elderly. </w:t>
      </w:r>
    </w:p>
    <w:p w:rsidR="0003795E" w:rsidRDefault="0003795E" w:rsidP="0003795E">
      <w:pPr>
        <w:spacing w:before="62"/>
        <w:ind w:left="4217" w:right="4235"/>
        <w:rPr>
          <w:rFonts w:ascii="Arial"/>
          <w:sz w:val="14"/>
        </w:rPr>
      </w:pPr>
    </w:p>
    <w:p w:rsidR="0003795E" w:rsidRDefault="00A9710C" w:rsidP="0003795E">
      <w:pPr>
        <w:ind w:left="2160" w:firstLine="720"/>
        <w:rPr>
          <w:iCs/>
          <w:lang w:val="en-GB"/>
        </w:rPr>
      </w:pPr>
      <w:r>
        <w:rPr>
          <w:rFonts w:ascii="Arial"/>
          <w:sz w:val="14"/>
        </w:rPr>
        <w:t xml:space="preserve">Email: </w:t>
      </w:r>
      <w:r w:rsidR="0003795E" w:rsidRPr="003A4B11">
        <w:rPr>
          <w:iCs/>
          <w:lang w:val="en-GB"/>
        </w:rPr>
        <w:t xml:space="preserve">Email Id: </w:t>
      </w:r>
      <w:hyperlink r:id="rId11" w:history="1">
        <w:r w:rsidR="0003795E" w:rsidRPr="00D32CFD">
          <w:rPr>
            <w:rStyle w:val="Hyperlink"/>
            <w:iCs/>
            <w:lang w:val="en-GB"/>
          </w:rPr>
          <w:t>maryam.tabrizi@uth.tmc.edu</w:t>
        </w:r>
      </w:hyperlink>
      <w:r w:rsidR="0003795E">
        <w:rPr>
          <w:iCs/>
          <w:lang w:val="en-GB"/>
        </w:rPr>
        <w:t xml:space="preserve"> </w:t>
      </w:r>
    </w:p>
    <w:p w:rsidR="007A404F" w:rsidRDefault="007A404F" w:rsidP="0003795E">
      <w:pPr>
        <w:ind w:left="2160" w:firstLine="720"/>
        <w:rPr>
          <w:iCs/>
          <w:lang w:val="en-GB"/>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2A7A" w:rsidRDefault="00982A7A">
      <w:r>
        <w:separator/>
      </w:r>
    </w:p>
  </w:endnote>
  <w:endnote w:type="continuationSeparator" w:id="0">
    <w:p w:rsidR="00982A7A" w:rsidRDefault="00982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2A7A" w:rsidRDefault="00982A7A">
      <w:r>
        <w:separator/>
      </w:r>
    </w:p>
  </w:footnote>
  <w:footnote w:type="continuationSeparator" w:id="0">
    <w:p w:rsidR="00982A7A" w:rsidRDefault="00982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795E"/>
    <w:rsid w:val="000E2911"/>
    <w:rsid w:val="001263DF"/>
    <w:rsid w:val="002455EC"/>
    <w:rsid w:val="00292ED9"/>
    <w:rsid w:val="00404E5B"/>
    <w:rsid w:val="00414F7B"/>
    <w:rsid w:val="004355DC"/>
    <w:rsid w:val="00451781"/>
    <w:rsid w:val="004610C2"/>
    <w:rsid w:val="004749B4"/>
    <w:rsid w:val="00494130"/>
    <w:rsid w:val="004F3523"/>
    <w:rsid w:val="005973B9"/>
    <w:rsid w:val="005B3A56"/>
    <w:rsid w:val="006060CE"/>
    <w:rsid w:val="0063497F"/>
    <w:rsid w:val="007A404F"/>
    <w:rsid w:val="00873DF0"/>
    <w:rsid w:val="008756E6"/>
    <w:rsid w:val="008A08B6"/>
    <w:rsid w:val="00982A7A"/>
    <w:rsid w:val="009B2D44"/>
    <w:rsid w:val="00A07E82"/>
    <w:rsid w:val="00A9710C"/>
    <w:rsid w:val="00AE3E37"/>
    <w:rsid w:val="00AE6E07"/>
    <w:rsid w:val="00B21A57"/>
    <w:rsid w:val="00C33602"/>
    <w:rsid w:val="00CD6F55"/>
    <w:rsid w:val="00DE3104"/>
    <w:rsid w:val="00E26B10"/>
    <w:rsid w:val="00F06EA7"/>
    <w:rsid w:val="00F72EEA"/>
    <w:rsid w:val="00F74D68"/>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F4D306"/>
  <w15:docId w15:val="{A181EA65-1F63-457D-8A50-94EA7C851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nhideWhenUsed/>
    <w:rsid w:val="000379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Times New Roman" w:hAnsi="Arial Unicode MS" w:cs="Courier New"/>
      <w:color w:val="000000"/>
      <w:sz w:val="20"/>
      <w:szCs w:val="20"/>
      <w:lang w:val="en-GB"/>
    </w:rPr>
  </w:style>
  <w:style w:type="character" w:customStyle="1" w:styleId="HTMLPreformattedChar">
    <w:name w:val="HTML Preformatted Char"/>
    <w:basedOn w:val="DefaultParagraphFont"/>
    <w:link w:val="HTMLPreformatted"/>
    <w:rsid w:val="0003795E"/>
    <w:rPr>
      <w:rFonts w:ascii="Arial Unicode MS" w:eastAsia="Times New Roman" w:hAnsi="Arial Unicode MS" w:cs="Courier New"/>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yam.tabrizi@uth.tmc.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Tabrizi, Maryam</cp:lastModifiedBy>
  <cp:revision>2</cp:revision>
  <dcterms:created xsi:type="dcterms:W3CDTF">2019-09-16T22:29:00Z</dcterms:created>
  <dcterms:modified xsi:type="dcterms:W3CDTF">2019-09-16T22:29:00Z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