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BF4" w:rsidRDefault="0078422E">
      <w:pPr>
        <w:spacing w:before="78"/>
        <w:ind w:right="1123"/>
        <w:jc w:val="center"/>
        <w:rPr>
          <w:rFonts w:ascii="Times New Roman" w:eastAsia="Times New Roman" w:hAnsi="Times New Roman" w:cs="Times New Roman"/>
        </w:rPr>
      </w:pPr>
      <w:r>
        <w:rPr>
          <w:rFonts w:ascii="Times New Roman" w:eastAsia="Times New Roman" w:hAnsi="Times New Roman" w:cs="Times New Roman"/>
          <w:b/>
          <w:bCs/>
          <w:color w:val="575757"/>
          <w:spacing w:val="-2"/>
          <w:u w:val="thick" w:color="575757"/>
        </w:rPr>
        <w:t>A</w:t>
      </w:r>
      <w:r>
        <w:rPr>
          <w:rFonts w:ascii="Times New Roman" w:eastAsia="Times New Roman" w:hAnsi="Times New Roman" w:cs="Times New Roman"/>
          <w:b/>
          <w:bCs/>
          <w:color w:val="575757"/>
          <w:u w:val="thick" w:color="575757"/>
        </w:rPr>
        <w:t>bstra</w:t>
      </w:r>
      <w:r>
        <w:rPr>
          <w:rFonts w:ascii="Times New Roman" w:eastAsia="Times New Roman" w:hAnsi="Times New Roman" w:cs="Times New Roman"/>
          <w:b/>
          <w:bCs/>
          <w:color w:val="575757"/>
          <w:spacing w:val="-2"/>
          <w:u w:val="thick" w:color="575757"/>
        </w:rPr>
        <w:t>c</w:t>
      </w:r>
      <w:r>
        <w:rPr>
          <w:rFonts w:ascii="Times New Roman" w:eastAsia="Times New Roman" w:hAnsi="Times New Roman" w:cs="Times New Roman"/>
          <w:b/>
          <w:bCs/>
          <w:color w:val="575757"/>
          <w:u w:val="thick" w:color="575757"/>
        </w:rPr>
        <w:t xml:space="preserve">t </w:t>
      </w:r>
    </w:p>
    <w:p w:rsidR="00BE2BF4" w:rsidRDefault="00BE2BF4">
      <w:pPr>
        <w:spacing w:before="6" w:line="170" w:lineRule="exact"/>
        <w:rPr>
          <w:sz w:val="17"/>
          <w:szCs w:val="17"/>
        </w:rPr>
      </w:pPr>
    </w:p>
    <w:p w:rsidR="00BE2BF4" w:rsidRDefault="0078422E">
      <w:pPr>
        <w:pStyle w:val="1"/>
        <w:spacing w:before="76"/>
        <w:ind w:left="272"/>
        <w:rPr>
          <w:b w:val="0"/>
          <w:bCs w:val="0"/>
        </w:rPr>
      </w:pPr>
      <w:r>
        <w:rPr>
          <w:color w:val="575757"/>
        </w:rPr>
        <w:t>Titl</w:t>
      </w:r>
      <w:r>
        <w:rPr>
          <w:color w:val="575757"/>
          <w:spacing w:val="-1"/>
        </w:rPr>
        <w:t>e</w:t>
      </w:r>
      <w:r>
        <w:rPr>
          <w:color w:val="575757"/>
        </w:rPr>
        <w:t xml:space="preserve">: </w:t>
      </w:r>
      <w:r w:rsidR="003B6F22">
        <w:rPr>
          <w:color w:val="575757"/>
        </w:rPr>
        <w:t>S</w:t>
      </w:r>
      <w:r w:rsidR="003B6F22" w:rsidRPr="003B6F22">
        <w:rPr>
          <w:color w:val="575757"/>
        </w:rPr>
        <w:t>ynthesis of a luminescent molecular imprinting polymer nanocomposite via encapsulation approach for biorecognition</w:t>
      </w:r>
    </w:p>
    <w:p w:rsidR="00BE2BF4" w:rsidRDefault="00BE2BF4">
      <w:pPr>
        <w:spacing w:before="6" w:line="130" w:lineRule="exact"/>
        <w:rPr>
          <w:sz w:val="13"/>
          <w:szCs w:val="13"/>
        </w:rPr>
      </w:pPr>
    </w:p>
    <w:p w:rsidR="00BE2BF4" w:rsidRDefault="00C56F38">
      <w:pPr>
        <w:tabs>
          <w:tab w:val="left" w:pos="3354"/>
        </w:tabs>
        <w:spacing w:before="78"/>
        <w:ind w:left="272"/>
        <w:rPr>
          <w:rFonts w:ascii="Times New Roman" w:eastAsia="Times New Roman" w:hAnsi="Times New Roman" w:cs="Times New Roman"/>
          <w:sz w:val="18"/>
          <w:szCs w:val="18"/>
        </w:rPr>
      </w:pPr>
      <w:r w:rsidRPr="00C56F38">
        <w:rPr>
          <w:rFonts w:ascii="Times New Roman" w:eastAsia="Times New Roman" w:hAnsi="Times New Roman" w:cs="Times New Roman"/>
          <w:b/>
          <w:bCs/>
          <w:color w:val="575757"/>
          <w:sz w:val="18"/>
          <w:szCs w:val="18"/>
        </w:rPr>
        <w:t>Jia-Xin Yu, Chia-Chun Li, Zheng-En Jiang , and Tzong-Liu Wang*</w:t>
      </w:r>
    </w:p>
    <w:p w:rsidR="00BE2BF4" w:rsidRDefault="00BE2BF4">
      <w:pPr>
        <w:spacing w:before="9" w:line="100" w:lineRule="exact"/>
        <w:rPr>
          <w:sz w:val="10"/>
          <w:szCs w:val="10"/>
        </w:rPr>
      </w:pPr>
    </w:p>
    <w:p w:rsidR="00BE2BF4" w:rsidRDefault="00C56F38" w:rsidP="00C56F38">
      <w:pPr>
        <w:pStyle w:val="a3"/>
        <w:spacing w:line="188" w:lineRule="auto"/>
        <w:ind w:left="272" w:right="3782"/>
      </w:pPr>
      <w:r w:rsidRPr="00C56F38">
        <w:rPr>
          <w:color w:val="575757"/>
        </w:rPr>
        <w:t>Department of Chemical and Materials Engineering, National University of Kaohsiung, Taiwan</w:t>
      </w:r>
      <w:r w:rsidR="0078422E">
        <w:rPr>
          <w:color w:val="575757"/>
          <w:spacing w:val="-1"/>
        </w:rPr>
        <w:t xml:space="preserve"> </w:t>
      </w:r>
    </w:p>
    <w:p w:rsidR="00BE2BF4" w:rsidRDefault="00BE2BF4">
      <w:pPr>
        <w:spacing w:line="188" w:lineRule="auto"/>
        <w:sectPr w:rsidR="00BE2BF4">
          <w:type w:val="continuous"/>
          <w:pgSz w:w="11912" w:h="16860"/>
          <w:pgMar w:top="1220" w:right="440" w:bottom="280" w:left="460" w:header="720" w:footer="720" w:gutter="0"/>
          <w:cols w:space="720"/>
        </w:sectPr>
      </w:pPr>
    </w:p>
    <w:p w:rsidR="00BE2BF4" w:rsidRDefault="00BE2BF4">
      <w:pPr>
        <w:spacing w:before="8" w:line="120" w:lineRule="exact"/>
        <w:rPr>
          <w:sz w:val="12"/>
          <w:szCs w:val="12"/>
        </w:rPr>
      </w:pPr>
    </w:p>
    <w:p w:rsidR="00BE2BF4" w:rsidRDefault="0078422E">
      <w:pPr>
        <w:pStyle w:val="1"/>
        <w:spacing w:line="242" w:lineRule="auto"/>
        <w:ind w:left="106" w:right="14"/>
        <w:jc w:val="both"/>
        <w:rPr>
          <w:b w:val="0"/>
          <w:bCs w:val="0"/>
        </w:rPr>
      </w:pPr>
      <w:r>
        <w:rPr>
          <w:color w:val="575757"/>
          <w:spacing w:val="1"/>
        </w:rPr>
        <w:t>K</w:t>
      </w:r>
      <w:r>
        <w:rPr>
          <w:color w:val="575757"/>
          <w:spacing w:val="-1"/>
        </w:rPr>
        <w:t>e</w:t>
      </w:r>
      <w:r>
        <w:rPr>
          <w:color w:val="575757"/>
          <w:spacing w:val="-2"/>
        </w:rPr>
        <w:t>y</w:t>
      </w:r>
      <w:r>
        <w:rPr>
          <w:color w:val="575757"/>
          <w:spacing w:val="4"/>
        </w:rPr>
        <w:t>w</w:t>
      </w:r>
      <w:r>
        <w:rPr>
          <w:color w:val="575757"/>
          <w:spacing w:val="-2"/>
        </w:rPr>
        <w:t>o</w:t>
      </w:r>
      <w:r>
        <w:rPr>
          <w:color w:val="575757"/>
          <w:spacing w:val="-1"/>
        </w:rPr>
        <w:t>r</w:t>
      </w:r>
      <w:r>
        <w:rPr>
          <w:color w:val="575757"/>
          <w:spacing w:val="-2"/>
        </w:rPr>
        <w:t>d</w:t>
      </w:r>
      <w:r>
        <w:rPr>
          <w:color w:val="575757"/>
        </w:rPr>
        <w:t>s:</w:t>
      </w:r>
      <w:r>
        <w:rPr>
          <w:color w:val="575757"/>
          <w:spacing w:val="12"/>
        </w:rPr>
        <w:t xml:space="preserve"> </w:t>
      </w:r>
      <w:r w:rsidR="00741F9E" w:rsidRPr="00741F9E">
        <w:rPr>
          <w:color w:val="575757"/>
        </w:rPr>
        <w:t>Moleoularly imprinted polymers, Upconversion nanoparticles, Encapsulation</w:t>
      </w:r>
      <w:r w:rsidR="00741F9E" w:rsidRPr="00741F9E">
        <w:rPr>
          <w:rFonts w:hint="eastAsia"/>
          <w:color w:val="575757"/>
        </w:rPr>
        <w:t>,</w:t>
      </w:r>
      <w:r w:rsidR="00741F9E" w:rsidRPr="00741F9E">
        <w:rPr>
          <w:color w:val="575757"/>
        </w:rPr>
        <w:t xml:space="preserve"> P(MAA-co-OD), Glycine, Bovine serum albumin, Bovine serum hemoglobin.</w:t>
      </w:r>
    </w:p>
    <w:p w:rsidR="00BE2BF4" w:rsidRDefault="00BE2BF4">
      <w:pPr>
        <w:spacing w:before="9" w:line="110" w:lineRule="exact"/>
        <w:rPr>
          <w:sz w:val="11"/>
          <w:szCs w:val="11"/>
        </w:rPr>
      </w:pPr>
    </w:p>
    <w:p w:rsidR="00BE2BF4" w:rsidRDefault="00BE2BF4">
      <w:pPr>
        <w:spacing w:line="200" w:lineRule="exact"/>
        <w:rPr>
          <w:sz w:val="20"/>
          <w:szCs w:val="20"/>
        </w:rPr>
      </w:pPr>
    </w:p>
    <w:p w:rsidR="00BE2BF4" w:rsidRDefault="0078422E">
      <w:pPr>
        <w:numPr>
          <w:ilvl w:val="0"/>
          <w:numId w:val="1"/>
        </w:numPr>
        <w:tabs>
          <w:tab w:val="left" w:pos="1546"/>
        </w:tabs>
        <w:ind w:left="1546"/>
        <w:rPr>
          <w:rFonts w:ascii="Times New Roman" w:eastAsia="Times New Roman" w:hAnsi="Times New Roman" w:cs="Times New Roman"/>
          <w:sz w:val="18"/>
          <w:szCs w:val="18"/>
        </w:rPr>
      </w:pPr>
      <w:r>
        <w:rPr>
          <w:rFonts w:ascii="Times New Roman" w:eastAsia="Times New Roman" w:hAnsi="Times New Roman" w:cs="Times New Roman"/>
          <w:b/>
          <w:bCs/>
          <w:color w:val="575757"/>
          <w:sz w:val="18"/>
          <w:szCs w:val="18"/>
        </w:rPr>
        <w:t>A</w:t>
      </w:r>
      <w:r>
        <w:rPr>
          <w:rFonts w:ascii="Times New Roman" w:eastAsia="Times New Roman" w:hAnsi="Times New Roman" w:cs="Times New Roman"/>
          <w:b/>
          <w:bCs/>
          <w:color w:val="575757"/>
          <w:spacing w:val="-2"/>
          <w:sz w:val="18"/>
          <w:szCs w:val="18"/>
        </w:rPr>
        <w:t>b</w:t>
      </w:r>
      <w:r>
        <w:rPr>
          <w:rFonts w:ascii="Times New Roman" w:eastAsia="Times New Roman" w:hAnsi="Times New Roman" w:cs="Times New Roman"/>
          <w:b/>
          <w:bCs/>
          <w:color w:val="575757"/>
          <w:sz w:val="18"/>
          <w:szCs w:val="18"/>
        </w:rPr>
        <w:t>st</w:t>
      </w:r>
      <w:r>
        <w:rPr>
          <w:rFonts w:ascii="Times New Roman" w:eastAsia="Times New Roman" w:hAnsi="Times New Roman" w:cs="Times New Roman"/>
          <w:b/>
          <w:bCs/>
          <w:color w:val="575757"/>
          <w:spacing w:val="1"/>
          <w:sz w:val="18"/>
          <w:szCs w:val="18"/>
        </w:rPr>
        <w:t>r</w:t>
      </w:r>
      <w:r>
        <w:rPr>
          <w:rFonts w:ascii="Times New Roman" w:eastAsia="Times New Roman" w:hAnsi="Times New Roman" w:cs="Times New Roman"/>
          <w:b/>
          <w:bCs/>
          <w:color w:val="575757"/>
          <w:spacing w:val="-2"/>
          <w:sz w:val="18"/>
          <w:szCs w:val="18"/>
        </w:rPr>
        <w:t>a</w:t>
      </w:r>
      <w:r>
        <w:rPr>
          <w:rFonts w:ascii="Times New Roman" w:eastAsia="Times New Roman" w:hAnsi="Times New Roman" w:cs="Times New Roman"/>
          <w:b/>
          <w:bCs/>
          <w:color w:val="575757"/>
          <w:spacing w:val="-1"/>
          <w:sz w:val="18"/>
          <w:szCs w:val="18"/>
        </w:rPr>
        <w:t>c</w:t>
      </w:r>
      <w:r>
        <w:rPr>
          <w:rFonts w:ascii="Times New Roman" w:eastAsia="Times New Roman" w:hAnsi="Times New Roman" w:cs="Times New Roman"/>
          <w:b/>
          <w:bCs/>
          <w:color w:val="575757"/>
          <w:sz w:val="18"/>
          <w:szCs w:val="18"/>
        </w:rPr>
        <w:t>t</w:t>
      </w:r>
    </w:p>
    <w:p w:rsidR="00BE2BF4" w:rsidRDefault="00BE2BF4">
      <w:pPr>
        <w:spacing w:before="8" w:line="100" w:lineRule="exact"/>
        <w:rPr>
          <w:sz w:val="10"/>
          <w:szCs w:val="10"/>
        </w:rPr>
      </w:pPr>
    </w:p>
    <w:p w:rsidR="008C0548" w:rsidRPr="008C0548" w:rsidRDefault="008C0548" w:rsidP="008C0548">
      <w:pPr>
        <w:pStyle w:val="a3"/>
        <w:ind w:left="106"/>
        <w:jc w:val="both"/>
        <w:rPr>
          <w:color w:val="575757"/>
          <w:spacing w:val="-2"/>
        </w:rPr>
      </w:pPr>
      <w:r w:rsidRPr="008C0548">
        <w:rPr>
          <w:color w:val="575757"/>
          <w:spacing w:val="-2"/>
        </w:rPr>
        <w:t>In recent years, moleoularly imprinted polymers (MIPs) have attracted considerable interests for their applications in biotechnology. MIPs possess selective and specific cavities for recognition and binding of the target molecules with high affinity and specificity. The interactions between the polymer and the target molecules consist of electrostatic interactions, hydrogen bonds, Van der Waals forces, and hydrophobic interactions.</w:t>
      </w:r>
    </w:p>
    <w:p w:rsidR="008C0548" w:rsidRPr="008C0548" w:rsidRDefault="008C0548" w:rsidP="008C0548">
      <w:pPr>
        <w:pStyle w:val="a3"/>
        <w:ind w:left="106"/>
        <w:jc w:val="both"/>
        <w:rPr>
          <w:color w:val="575757"/>
          <w:spacing w:val="-2"/>
        </w:rPr>
      </w:pPr>
      <w:r w:rsidRPr="008C0548">
        <w:rPr>
          <w:color w:val="575757"/>
          <w:spacing w:val="-2"/>
        </w:rPr>
        <w:t>In this study, a luminescent molecular imprinting polymer nanocomposite was prepared via the encapsulation approach. The LiYF</w:t>
      </w:r>
      <w:r w:rsidRPr="00B955D1">
        <w:rPr>
          <w:color w:val="575757"/>
          <w:spacing w:val="-2"/>
          <w:vertAlign w:val="subscript"/>
        </w:rPr>
        <w:t>4</w:t>
      </w:r>
      <w:r w:rsidRPr="008C0548">
        <w:rPr>
          <w:color w:val="575757"/>
          <w:spacing w:val="-2"/>
        </w:rPr>
        <w:t>:Yb</w:t>
      </w:r>
      <w:r w:rsidRPr="00B955D1">
        <w:rPr>
          <w:color w:val="575757"/>
          <w:spacing w:val="-2"/>
          <w:vertAlign w:val="superscript"/>
        </w:rPr>
        <w:t>3+</w:t>
      </w:r>
      <w:r w:rsidRPr="00B955D1">
        <w:rPr>
          <w:color w:val="575757"/>
          <w:spacing w:val="-2"/>
          <w:vertAlign w:val="subscript"/>
        </w:rPr>
        <w:t>0.25</w:t>
      </w:r>
      <w:r w:rsidRPr="008C0548">
        <w:rPr>
          <w:color w:val="575757"/>
          <w:spacing w:val="-2"/>
        </w:rPr>
        <w:t>/Er</w:t>
      </w:r>
      <w:r w:rsidRPr="004F2400">
        <w:rPr>
          <w:color w:val="575757"/>
          <w:spacing w:val="-2"/>
          <w:vertAlign w:val="superscript"/>
        </w:rPr>
        <w:t>3+</w:t>
      </w:r>
      <w:r w:rsidRPr="004F2400">
        <w:rPr>
          <w:color w:val="575757"/>
          <w:spacing w:val="-2"/>
          <w:vertAlign w:val="subscript"/>
        </w:rPr>
        <w:t>0.01</w:t>
      </w:r>
      <w:r w:rsidRPr="008C0548">
        <w:rPr>
          <w:color w:val="575757"/>
          <w:spacing w:val="-2"/>
        </w:rPr>
        <w:t>/Tm</w:t>
      </w:r>
      <w:r w:rsidRPr="004F2400">
        <w:rPr>
          <w:color w:val="575757"/>
          <w:spacing w:val="-2"/>
          <w:vertAlign w:val="superscript"/>
        </w:rPr>
        <w:t>3+</w:t>
      </w:r>
      <w:r w:rsidRPr="004F2400">
        <w:rPr>
          <w:color w:val="575757"/>
          <w:spacing w:val="-2"/>
          <w:vertAlign w:val="subscript"/>
        </w:rPr>
        <w:t>0.01</w:t>
      </w:r>
      <w:r w:rsidRPr="008C0548">
        <w:rPr>
          <w:color w:val="575757"/>
          <w:spacing w:val="-2"/>
        </w:rPr>
        <w:t>/Ho</w:t>
      </w:r>
      <w:r w:rsidRPr="004F2400">
        <w:rPr>
          <w:color w:val="575757"/>
          <w:spacing w:val="-2"/>
          <w:vertAlign w:val="superscript"/>
        </w:rPr>
        <w:t>3+</w:t>
      </w:r>
      <w:r w:rsidRPr="004F2400">
        <w:rPr>
          <w:color w:val="575757"/>
          <w:spacing w:val="-2"/>
          <w:vertAlign w:val="subscript"/>
        </w:rPr>
        <w:t>0.01</w:t>
      </w:r>
      <w:r w:rsidRPr="008C0548">
        <w:rPr>
          <w:color w:val="575757"/>
          <w:spacing w:val="-2"/>
        </w:rPr>
        <w:t>@LiYF</w:t>
      </w:r>
      <w:r w:rsidRPr="004F2400">
        <w:rPr>
          <w:color w:val="575757"/>
          <w:spacing w:val="-2"/>
          <w:vertAlign w:val="subscript"/>
        </w:rPr>
        <w:t>4</w:t>
      </w:r>
      <w:r w:rsidRPr="008C0548">
        <w:rPr>
          <w:color w:val="575757"/>
          <w:spacing w:val="-2"/>
        </w:rPr>
        <w:t>:Yb</w:t>
      </w:r>
      <w:r w:rsidRPr="004F2400">
        <w:rPr>
          <w:color w:val="575757"/>
          <w:spacing w:val="-2"/>
          <w:vertAlign w:val="superscript"/>
        </w:rPr>
        <w:t>3+</w:t>
      </w:r>
      <w:r w:rsidRPr="004F2400">
        <w:rPr>
          <w:color w:val="575757"/>
          <w:spacing w:val="-2"/>
          <w:vertAlign w:val="subscript"/>
        </w:rPr>
        <w:t>0.2</w:t>
      </w:r>
      <w:r w:rsidRPr="008C0548">
        <w:rPr>
          <w:color w:val="575757"/>
          <w:spacing w:val="-2"/>
        </w:rPr>
        <w:t xml:space="preserve"> </w:t>
      </w:r>
      <w:r w:rsidR="00717C95">
        <w:rPr>
          <w:color w:val="575757"/>
          <w:spacing w:val="-2"/>
        </w:rPr>
        <w:t xml:space="preserve">and </w:t>
      </w:r>
      <w:r w:rsidR="00717C95" w:rsidRPr="00717C95">
        <w:rPr>
          <w:color w:val="575757"/>
          <w:spacing w:val="-2"/>
        </w:rPr>
        <w:t>LiYF</w:t>
      </w:r>
      <w:r w:rsidR="00717C95" w:rsidRPr="00717C95">
        <w:rPr>
          <w:color w:val="575757"/>
          <w:spacing w:val="-2"/>
          <w:vertAlign w:val="subscript"/>
        </w:rPr>
        <w:t>4</w:t>
      </w:r>
      <w:r w:rsidR="00717C95" w:rsidRPr="00717C95">
        <w:rPr>
          <w:color w:val="575757"/>
          <w:spacing w:val="-2"/>
        </w:rPr>
        <w:t>:Yb</w:t>
      </w:r>
      <w:r w:rsidR="00717C95" w:rsidRPr="00717C95">
        <w:rPr>
          <w:color w:val="575757"/>
          <w:spacing w:val="-2"/>
          <w:vertAlign w:val="superscript"/>
        </w:rPr>
        <w:t>3+</w:t>
      </w:r>
      <w:r w:rsidR="00717C95" w:rsidRPr="00717C95">
        <w:rPr>
          <w:color w:val="575757"/>
          <w:spacing w:val="-2"/>
          <w:vertAlign w:val="subscript"/>
        </w:rPr>
        <w:t>0.25</w:t>
      </w:r>
      <w:r w:rsidR="00717C95" w:rsidRPr="00717C95">
        <w:rPr>
          <w:color w:val="575757"/>
          <w:spacing w:val="-2"/>
        </w:rPr>
        <w:t>/Tm</w:t>
      </w:r>
      <w:r w:rsidR="00717C95" w:rsidRPr="00717C95">
        <w:rPr>
          <w:color w:val="575757"/>
          <w:spacing w:val="-2"/>
          <w:vertAlign w:val="superscript"/>
        </w:rPr>
        <w:t>3+</w:t>
      </w:r>
      <w:r w:rsidR="00717C95" w:rsidRPr="00717C95">
        <w:rPr>
          <w:color w:val="575757"/>
          <w:spacing w:val="-2"/>
          <w:vertAlign w:val="subscript"/>
        </w:rPr>
        <w:t>0.01</w:t>
      </w:r>
      <w:r w:rsidR="00717C95" w:rsidRPr="00717C95">
        <w:rPr>
          <w:color w:val="575757"/>
          <w:spacing w:val="-2"/>
        </w:rPr>
        <w:t>@LiYF</w:t>
      </w:r>
      <w:r w:rsidR="00717C95" w:rsidRPr="00717C95">
        <w:rPr>
          <w:color w:val="575757"/>
          <w:spacing w:val="-2"/>
          <w:vertAlign w:val="subscript"/>
        </w:rPr>
        <w:t>4</w:t>
      </w:r>
      <w:r w:rsidR="00717C95" w:rsidRPr="00717C95">
        <w:rPr>
          <w:color w:val="575757"/>
          <w:spacing w:val="-2"/>
        </w:rPr>
        <w:t>:Yb</w:t>
      </w:r>
      <w:r w:rsidR="00717C95" w:rsidRPr="00717C95">
        <w:rPr>
          <w:color w:val="575757"/>
          <w:spacing w:val="-2"/>
          <w:vertAlign w:val="superscript"/>
        </w:rPr>
        <w:t>3+</w:t>
      </w:r>
      <w:r w:rsidR="00717C95" w:rsidRPr="00717C95">
        <w:rPr>
          <w:color w:val="575757"/>
          <w:spacing w:val="-2"/>
          <w:vertAlign w:val="subscript"/>
        </w:rPr>
        <w:t>0.2</w:t>
      </w:r>
      <w:r w:rsidR="00717C95">
        <w:rPr>
          <w:color w:val="575757"/>
          <w:spacing w:val="-2"/>
        </w:rPr>
        <w:t xml:space="preserve"> </w:t>
      </w:r>
      <w:r w:rsidRPr="008C0548">
        <w:rPr>
          <w:color w:val="575757"/>
          <w:spacing w:val="-2"/>
        </w:rPr>
        <w:t xml:space="preserve">core/shell upconversion nanoparticles (UCNPs) were prepared as the luminescent nanoparticles by thermal decomposition method. The [Poly(methacrylic acid)-co-octadecene] (P(MAA-co-OD)) copolymer was synthesized as the moleoularly-imprinted polymer and imprinted with the templates of glycine, bovine serum albumin and bovine hemoglobin. The prepared UCNP@P(MAA-co-OD) MIP nanocomposite (MIP-NC) could emit green and red </w:t>
      </w:r>
      <w:r w:rsidR="000944F8">
        <w:rPr>
          <w:color w:val="575757"/>
          <w:spacing w:val="-2"/>
        </w:rPr>
        <w:t xml:space="preserve">and UV/Vis </w:t>
      </w:r>
      <w:r w:rsidR="000944F8" w:rsidRPr="000944F8">
        <w:rPr>
          <w:color w:val="575757"/>
          <w:spacing w:val="-2"/>
        </w:rPr>
        <w:t xml:space="preserve">light </w:t>
      </w:r>
      <w:r w:rsidR="000944F8">
        <w:rPr>
          <w:color w:val="575757"/>
          <w:spacing w:val="-2"/>
        </w:rPr>
        <w:t>respectively</w:t>
      </w:r>
      <w:r w:rsidRPr="008C0548">
        <w:rPr>
          <w:color w:val="575757"/>
          <w:spacing w:val="-2"/>
        </w:rPr>
        <w:t>. Both luminescent bands could be absorbed by the template molecules and the biomolecules to be recognized.</w:t>
      </w:r>
    </w:p>
    <w:p w:rsidR="008C0548" w:rsidRPr="008C0548" w:rsidRDefault="008C0548" w:rsidP="008C0548">
      <w:pPr>
        <w:pStyle w:val="a3"/>
        <w:ind w:left="106"/>
        <w:jc w:val="both"/>
        <w:rPr>
          <w:color w:val="575757"/>
          <w:spacing w:val="-2"/>
        </w:rPr>
      </w:pPr>
      <w:r w:rsidRPr="008C0548">
        <w:rPr>
          <w:rFonts w:hint="eastAsia"/>
          <w:color w:val="575757"/>
          <w:spacing w:val="-2"/>
        </w:rPr>
        <w:t xml:space="preserve">The particle size of MIP-NC determined by dynamic light scattering (DLS) showed that the size was in the range of 1.30 </w:t>
      </w:r>
      <w:r w:rsidR="004F2400" w:rsidRPr="004F2400">
        <w:rPr>
          <w:color w:val="575757"/>
          <w:spacing w:val="-2"/>
          <w:lang w:val="es-ES_tradnl"/>
        </w:rPr>
        <w:sym w:font="Symbol" w:char="F06D"/>
      </w:r>
      <w:r w:rsidR="004F2400" w:rsidRPr="004F2400">
        <w:rPr>
          <w:color w:val="575757"/>
          <w:spacing w:val="-2"/>
          <w:lang w:val="es-ES_tradnl"/>
        </w:rPr>
        <w:t>m</w:t>
      </w:r>
      <w:r w:rsidRPr="008C0548">
        <w:rPr>
          <w:rFonts w:hint="eastAsia"/>
          <w:color w:val="575757"/>
          <w:spacing w:val="-2"/>
        </w:rPr>
        <w:t xml:space="preserve"> to 1.95 </w:t>
      </w:r>
      <w:r w:rsidR="004F2400" w:rsidRPr="004F2400">
        <w:rPr>
          <w:color w:val="575757"/>
          <w:spacing w:val="-2"/>
          <w:lang w:val="es-ES_tradnl"/>
        </w:rPr>
        <w:sym w:font="Symbol" w:char="F06D"/>
      </w:r>
      <w:r w:rsidR="004F2400" w:rsidRPr="004F2400">
        <w:rPr>
          <w:color w:val="575757"/>
          <w:spacing w:val="-2"/>
          <w:lang w:val="es-ES_tradnl"/>
        </w:rPr>
        <w:t>m</w:t>
      </w:r>
      <w:r w:rsidRPr="008C0548">
        <w:rPr>
          <w:rFonts w:hint="eastAsia"/>
          <w:color w:val="575757"/>
          <w:spacing w:val="-2"/>
        </w:rPr>
        <w:t>. Thermogravimetric analysis (TGA) indicated that the weight ratio of UCNPs in the MIP-NC was ca. 2%. The recognition and re</w:t>
      </w:r>
      <w:r w:rsidRPr="008C0548">
        <w:rPr>
          <w:color w:val="575757"/>
          <w:spacing w:val="-2"/>
        </w:rPr>
        <w:t xml:space="preserve">-adsorption effect of the luminescent MIP-NC for the three template molecules after molecular imprinting were determined by the absorption intensity of the ultraviolet-visible (UV/Vis) spectra and photoluminescence (PL) measurements. </w:t>
      </w:r>
    </w:p>
    <w:p w:rsidR="00BE2BF4" w:rsidRDefault="008C0548" w:rsidP="008C0548">
      <w:pPr>
        <w:pStyle w:val="a3"/>
        <w:ind w:left="106"/>
        <w:jc w:val="both"/>
      </w:pPr>
      <w:r w:rsidRPr="008C0548">
        <w:rPr>
          <w:color w:val="575757"/>
          <w:spacing w:val="-2"/>
        </w:rPr>
        <w:t>The prepared MIP-NC was used as a biosensor for recognition of human red blood cells and ractopamine. The UV/Vis analysis showed that the adsorption of human red blood cells by the synthesized MIP-NC was better than that of ractopamine. Photoluminescence spectra and the result of Stern-Volmer equation indicated that the light quenching effect of human red blood cell was higher than that of ractopamine. Therefore, the MIP-NC prepared in this study has a better recognition effect on human red blood cells.</w:t>
      </w:r>
    </w:p>
    <w:p w:rsidR="00BE2BF4" w:rsidRDefault="00BE2BF4">
      <w:pPr>
        <w:spacing w:before="15" w:line="200" w:lineRule="exact"/>
        <w:rPr>
          <w:sz w:val="20"/>
          <w:szCs w:val="20"/>
        </w:rPr>
      </w:pPr>
    </w:p>
    <w:p w:rsidR="00BE2BF4" w:rsidRPr="006057B2" w:rsidRDefault="0078422E" w:rsidP="006057B2">
      <w:pPr>
        <w:pStyle w:val="1"/>
        <w:numPr>
          <w:ilvl w:val="0"/>
          <w:numId w:val="1"/>
        </w:numPr>
        <w:tabs>
          <w:tab w:val="left" w:pos="1592"/>
        </w:tabs>
        <w:spacing w:afterLines="50" w:after="120"/>
        <w:ind w:left="1593" w:hanging="493"/>
        <w:rPr>
          <w:b w:val="0"/>
          <w:bCs w:val="0"/>
        </w:rPr>
      </w:pPr>
      <w:r>
        <w:rPr>
          <w:color w:val="575757"/>
          <w:spacing w:val="1"/>
        </w:rPr>
        <w:t>I</w:t>
      </w:r>
      <w:r>
        <w:rPr>
          <w:color w:val="575757"/>
          <w:spacing w:val="-4"/>
        </w:rPr>
        <w:t>m</w:t>
      </w:r>
      <w:r>
        <w:rPr>
          <w:color w:val="575757"/>
          <w:spacing w:val="-2"/>
        </w:rPr>
        <w:t>a</w:t>
      </w:r>
      <w:r>
        <w:rPr>
          <w:color w:val="575757"/>
          <w:spacing w:val="1"/>
        </w:rPr>
        <w:t>g</w:t>
      </w:r>
      <w:r>
        <w:rPr>
          <w:color w:val="575757"/>
          <w:spacing w:val="-1"/>
        </w:rPr>
        <w:t>e</w:t>
      </w:r>
      <w:r>
        <w:rPr>
          <w:color w:val="575757"/>
        </w:rPr>
        <w:t>:</w:t>
      </w:r>
    </w:p>
    <w:p w:rsidR="006057B2" w:rsidRDefault="006057B2" w:rsidP="006057B2">
      <w:pPr>
        <w:pStyle w:val="1"/>
        <w:tabs>
          <w:tab w:val="left" w:pos="1592"/>
        </w:tabs>
        <w:ind w:leftChars="-14" w:left="0" w:hangingChars="17" w:hanging="31"/>
        <w:jc w:val="center"/>
        <w:rPr>
          <w:b w:val="0"/>
          <w:bCs w:val="0"/>
        </w:rPr>
      </w:pPr>
      <w:r w:rsidRPr="006057B2">
        <w:rPr>
          <w:b w:val="0"/>
          <w:bCs w:val="0"/>
          <w:noProof/>
          <w:lang w:eastAsia="zh-TW"/>
        </w:rPr>
        <w:drawing>
          <wp:inline distT="0" distB="0" distL="0" distR="0">
            <wp:extent cx="1702215" cy="1690817"/>
            <wp:effectExtent l="0" t="0" r="0" b="0"/>
            <wp:docPr id="1" name="圖片 1" descr="D:\20190604史晏臺碩士論文\TEM\TEM\c3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90604史晏臺碩士論文\TEM\TEM\c300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0803" cy="1709280"/>
                    </a:xfrm>
                    <a:prstGeom prst="rect">
                      <a:avLst/>
                    </a:prstGeom>
                    <a:noFill/>
                    <a:ln>
                      <a:noFill/>
                    </a:ln>
                  </pic:spPr>
                </pic:pic>
              </a:graphicData>
            </a:graphic>
          </wp:inline>
        </w:drawing>
      </w:r>
    </w:p>
    <w:p w:rsidR="00BE2BF4" w:rsidRDefault="0078422E">
      <w:pPr>
        <w:spacing w:before="6" w:line="100" w:lineRule="exact"/>
        <w:rPr>
          <w:sz w:val="10"/>
          <w:szCs w:val="10"/>
        </w:rPr>
      </w:pPr>
      <w:r>
        <w:br w:type="column"/>
      </w:r>
    </w:p>
    <w:p w:rsidR="00BE2BF4" w:rsidRDefault="0078422E">
      <w:pPr>
        <w:numPr>
          <w:ilvl w:val="0"/>
          <w:numId w:val="1"/>
        </w:numPr>
        <w:tabs>
          <w:tab w:val="left" w:pos="1550"/>
        </w:tabs>
        <w:ind w:left="1550"/>
        <w:rPr>
          <w:rFonts w:ascii="Times New Roman" w:eastAsia="Times New Roman" w:hAnsi="Times New Roman" w:cs="Times New Roman"/>
          <w:sz w:val="18"/>
          <w:szCs w:val="18"/>
        </w:rPr>
      </w:pPr>
      <w:r>
        <w:rPr>
          <w:rFonts w:ascii="Times New Roman" w:eastAsia="Times New Roman" w:hAnsi="Times New Roman" w:cs="Times New Roman"/>
          <w:b/>
          <w:bCs/>
          <w:color w:val="575757"/>
          <w:sz w:val="18"/>
          <w:szCs w:val="18"/>
        </w:rPr>
        <w:t>R</w:t>
      </w:r>
      <w:r>
        <w:rPr>
          <w:rFonts w:ascii="Times New Roman" w:eastAsia="Times New Roman" w:hAnsi="Times New Roman" w:cs="Times New Roman"/>
          <w:b/>
          <w:bCs/>
          <w:color w:val="575757"/>
          <w:spacing w:val="-2"/>
          <w:sz w:val="18"/>
          <w:szCs w:val="18"/>
        </w:rPr>
        <w:t>e</w:t>
      </w:r>
      <w:r>
        <w:rPr>
          <w:rFonts w:ascii="Times New Roman" w:eastAsia="Times New Roman" w:hAnsi="Times New Roman" w:cs="Times New Roman"/>
          <w:b/>
          <w:bCs/>
          <w:color w:val="575757"/>
          <w:sz w:val="18"/>
          <w:szCs w:val="18"/>
        </w:rPr>
        <w:t>f</w:t>
      </w:r>
      <w:r>
        <w:rPr>
          <w:rFonts w:ascii="Times New Roman" w:eastAsia="Times New Roman" w:hAnsi="Times New Roman" w:cs="Times New Roman"/>
          <w:b/>
          <w:bCs/>
          <w:color w:val="575757"/>
          <w:spacing w:val="-1"/>
          <w:sz w:val="18"/>
          <w:szCs w:val="18"/>
        </w:rPr>
        <w:t>er</w:t>
      </w:r>
      <w:r>
        <w:rPr>
          <w:rFonts w:ascii="Times New Roman" w:eastAsia="Times New Roman" w:hAnsi="Times New Roman" w:cs="Times New Roman"/>
          <w:b/>
          <w:bCs/>
          <w:color w:val="575757"/>
          <w:spacing w:val="1"/>
          <w:sz w:val="18"/>
          <w:szCs w:val="18"/>
        </w:rPr>
        <w:t>e</w:t>
      </w:r>
      <w:r>
        <w:rPr>
          <w:rFonts w:ascii="Times New Roman" w:eastAsia="Times New Roman" w:hAnsi="Times New Roman" w:cs="Times New Roman"/>
          <w:b/>
          <w:bCs/>
          <w:color w:val="575757"/>
          <w:spacing w:val="-2"/>
          <w:sz w:val="18"/>
          <w:szCs w:val="18"/>
        </w:rPr>
        <w:t>n</w:t>
      </w:r>
      <w:r>
        <w:rPr>
          <w:rFonts w:ascii="Times New Roman" w:eastAsia="Times New Roman" w:hAnsi="Times New Roman" w:cs="Times New Roman"/>
          <w:b/>
          <w:bCs/>
          <w:color w:val="575757"/>
          <w:spacing w:val="1"/>
          <w:sz w:val="18"/>
          <w:szCs w:val="18"/>
        </w:rPr>
        <w:t>c</w:t>
      </w:r>
      <w:r>
        <w:rPr>
          <w:rFonts w:ascii="Times New Roman" w:eastAsia="Times New Roman" w:hAnsi="Times New Roman" w:cs="Times New Roman"/>
          <w:b/>
          <w:bCs/>
          <w:color w:val="575757"/>
          <w:spacing w:val="-1"/>
          <w:sz w:val="18"/>
          <w:szCs w:val="18"/>
        </w:rPr>
        <w:t>e</w:t>
      </w:r>
      <w:r w:rsidR="00836F91">
        <w:rPr>
          <w:rFonts w:ascii="Times New Roman" w:eastAsia="Times New Roman" w:hAnsi="Times New Roman" w:cs="Times New Roman"/>
          <w:b/>
          <w:bCs/>
          <w:color w:val="575757"/>
          <w:spacing w:val="-1"/>
          <w:sz w:val="18"/>
          <w:szCs w:val="18"/>
        </w:rPr>
        <w:t>s</w:t>
      </w:r>
      <w:r>
        <w:rPr>
          <w:rFonts w:ascii="Times New Roman" w:eastAsia="Times New Roman" w:hAnsi="Times New Roman" w:cs="Times New Roman"/>
          <w:b/>
          <w:bCs/>
          <w:color w:val="575757"/>
          <w:sz w:val="18"/>
          <w:szCs w:val="18"/>
        </w:rPr>
        <w:t>:</w:t>
      </w:r>
    </w:p>
    <w:p w:rsidR="00BE2BF4" w:rsidRDefault="00BE2BF4">
      <w:pPr>
        <w:spacing w:before="14" w:line="200" w:lineRule="exact"/>
        <w:rPr>
          <w:sz w:val="20"/>
          <w:szCs w:val="20"/>
        </w:rPr>
      </w:pPr>
    </w:p>
    <w:p w:rsidR="00BE2BF4" w:rsidRDefault="0078422E">
      <w:pPr>
        <w:pStyle w:val="a3"/>
        <w:tabs>
          <w:tab w:val="left" w:pos="830"/>
        </w:tabs>
        <w:spacing w:line="206" w:lineRule="exact"/>
        <w:ind w:right="680" w:hanging="360"/>
      </w:pPr>
      <w:r>
        <w:rPr>
          <w:color w:val="575757"/>
        </w:rPr>
        <w:t>1</w:t>
      </w:r>
      <w:r>
        <w:rPr>
          <w:color w:val="575757"/>
        </w:rPr>
        <w:tab/>
      </w:r>
      <w:r w:rsidR="00E72E69" w:rsidRPr="00E72E69">
        <w:rPr>
          <w:color w:val="575757"/>
          <w:spacing w:val="-2"/>
        </w:rPr>
        <w:t xml:space="preserve">A. Bagheri, H. Arandiyan, C. Boyer, and M. Lim, </w:t>
      </w:r>
      <w:r w:rsidR="00E72E69">
        <w:rPr>
          <w:color w:val="575757"/>
          <w:spacing w:val="-2"/>
        </w:rPr>
        <w:t xml:space="preserve">2016. </w:t>
      </w:r>
      <w:r w:rsidR="00E72E69" w:rsidRPr="00E72E69">
        <w:rPr>
          <w:color w:val="575757"/>
          <w:spacing w:val="-2"/>
        </w:rPr>
        <w:t>Lanthanide‐Doped Upconversion Nanoparticles: Emerging Intelligent Light‐A</w:t>
      </w:r>
      <w:r w:rsidR="00E72E69">
        <w:rPr>
          <w:color w:val="575757"/>
          <w:spacing w:val="-2"/>
        </w:rPr>
        <w:t xml:space="preserve">ctivated Drug Delivery Systems. </w:t>
      </w:r>
      <w:r w:rsidR="00644252" w:rsidRPr="00644252">
        <w:rPr>
          <w:color w:val="575757"/>
          <w:spacing w:val="-2"/>
        </w:rPr>
        <w:t>Adv. Sci.</w:t>
      </w:r>
      <w:r w:rsidR="00E72E69">
        <w:rPr>
          <w:color w:val="575757"/>
          <w:spacing w:val="-2"/>
        </w:rPr>
        <w:t xml:space="preserve">, 3(7): </w:t>
      </w:r>
      <w:r w:rsidR="00E72E69" w:rsidRPr="00E72E69">
        <w:rPr>
          <w:color w:val="575757"/>
          <w:spacing w:val="-2"/>
        </w:rPr>
        <w:t>1500437</w:t>
      </w:r>
    </w:p>
    <w:p w:rsidR="00BE2BF4" w:rsidRDefault="00BE2BF4">
      <w:pPr>
        <w:spacing w:before="16" w:line="200" w:lineRule="exact"/>
        <w:rPr>
          <w:sz w:val="20"/>
          <w:szCs w:val="20"/>
        </w:rPr>
      </w:pPr>
    </w:p>
    <w:p w:rsidR="00BE2BF4" w:rsidRDefault="00820CC8" w:rsidP="00820CC8">
      <w:pPr>
        <w:pStyle w:val="a3"/>
        <w:numPr>
          <w:ilvl w:val="0"/>
          <w:numId w:val="2"/>
        </w:numPr>
        <w:tabs>
          <w:tab w:val="left" w:pos="830"/>
        </w:tabs>
      </w:pPr>
      <w:r w:rsidRPr="00820CC8">
        <w:rPr>
          <w:color w:val="575757"/>
          <w:spacing w:val="1"/>
        </w:rPr>
        <w:t xml:space="preserve">X. Xue, F. Wang, and X. Liu, </w:t>
      </w:r>
      <w:r>
        <w:rPr>
          <w:color w:val="575757"/>
          <w:spacing w:val="1"/>
        </w:rPr>
        <w:t xml:space="preserve">2011. </w:t>
      </w:r>
      <w:r w:rsidRPr="00820CC8">
        <w:rPr>
          <w:color w:val="575757"/>
          <w:spacing w:val="1"/>
        </w:rPr>
        <w:t>Emerging functional nanomaterial</w:t>
      </w:r>
      <w:r>
        <w:rPr>
          <w:color w:val="575757"/>
          <w:spacing w:val="1"/>
        </w:rPr>
        <w:t>s for therapeutics.</w:t>
      </w:r>
      <w:r w:rsidRPr="00820CC8">
        <w:rPr>
          <w:color w:val="575757"/>
          <w:spacing w:val="1"/>
        </w:rPr>
        <w:t xml:space="preserve"> </w:t>
      </w:r>
      <w:r w:rsidR="006E6C74" w:rsidRPr="006E6C74">
        <w:rPr>
          <w:color w:val="575757"/>
          <w:spacing w:val="1"/>
        </w:rPr>
        <w:t>J. Mater. Chem.</w:t>
      </w:r>
      <w:r w:rsidRPr="002C5048">
        <w:rPr>
          <w:color w:val="575757"/>
          <w:spacing w:val="1"/>
        </w:rPr>
        <w:t>,</w:t>
      </w:r>
      <w:r w:rsidRPr="00820CC8">
        <w:rPr>
          <w:i/>
          <w:color w:val="575757"/>
          <w:spacing w:val="1"/>
        </w:rPr>
        <w:t xml:space="preserve"> </w:t>
      </w:r>
      <w:r w:rsidRPr="00820CC8">
        <w:rPr>
          <w:color w:val="575757"/>
          <w:spacing w:val="1"/>
        </w:rPr>
        <w:t>21</w:t>
      </w:r>
      <w:r>
        <w:rPr>
          <w:color w:val="575757"/>
          <w:spacing w:val="1"/>
        </w:rPr>
        <w:t xml:space="preserve">(35): </w:t>
      </w:r>
      <w:r w:rsidRPr="00820CC8">
        <w:rPr>
          <w:color w:val="575757"/>
          <w:spacing w:val="1"/>
        </w:rPr>
        <w:t>13107-13127</w:t>
      </w:r>
    </w:p>
    <w:p w:rsidR="00BE2BF4" w:rsidRDefault="00BE2BF4">
      <w:pPr>
        <w:spacing w:before="4" w:line="200" w:lineRule="exact"/>
        <w:rPr>
          <w:sz w:val="20"/>
          <w:szCs w:val="20"/>
        </w:rPr>
      </w:pPr>
    </w:p>
    <w:p w:rsidR="00BE2BF4" w:rsidRDefault="002C5048" w:rsidP="0096005A">
      <w:pPr>
        <w:pStyle w:val="a3"/>
        <w:numPr>
          <w:ilvl w:val="0"/>
          <w:numId w:val="2"/>
        </w:numPr>
        <w:tabs>
          <w:tab w:val="left" w:pos="830"/>
        </w:tabs>
        <w:spacing w:line="239" w:lineRule="auto"/>
        <w:ind w:right="595"/>
      </w:pPr>
      <w:r w:rsidRPr="002C5048">
        <w:rPr>
          <w:color w:val="575757"/>
        </w:rPr>
        <w:t>F. Hof, S. L. Craig, C. Nuckolls, and J. Rebek, J</w:t>
      </w:r>
      <w:r w:rsidR="0096005A">
        <w:rPr>
          <w:color w:val="575757"/>
        </w:rPr>
        <w:t>r.</w:t>
      </w:r>
      <w:r w:rsidRPr="002C5048">
        <w:rPr>
          <w:color w:val="575757"/>
        </w:rPr>
        <w:t>,</w:t>
      </w:r>
      <w:r>
        <w:rPr>
          <w:color w:val="575757"/>
        </w:rPr>
        <w:t xml:space="preserve"> 2002. Molecular encapsulation. </w:t>
      </w:r>
      <w:r w:rsidR="0096005A" w:rsidRPr="0096005A">
        <w:rPr>
          <w:color w:val="575757"/>
        </w:rPr>
        <w:t>Angew</w:t>
      </w:r>
      <w:r w:rsidR="0096005A">
        <w:rPr>
          <w:color w:val="575757"/>
        </w:rPr>
        <w:t>.</w:t>
      </w:r>
      <w:r w:rsidR="0096005A" w:rsidRPr="0096005A">
        <w:rPr>
          <w:color w:val="575757"/>
        </w:rPr>
        <w:t xml:space="preserve"> Chem</w:t>
      </w:r>
      <w:r w:rsidR="0096005A">
        <w:rPr>
          <w:color w:val="575757"/>
        </w:rPr>
        <w:t>.</w:t>
      </w:r>
      <w:r w:rsidR="0096005A" w:rsidRPr="0096005A">
        <w:rPr>
          <w:color w:val="575757"/>
        </w:rPr>
        <w:t xml:space="preserve"> Int</w:t>
      </w:r>
      <w:r w:rsidR="0096005A">
        <w:rPr>
          <w:color w:val="575757"/>
        </w:rPr>
        <w:t>.</w:t>
      </w:r>
      <w:r w:rsidR="0096005A" w:rsidRPr="0096005A">
        <w:rPr>
          <w:color w:val="575757"/>
        </w:rPr>
        <w:t xml:space="preserve"> Ed</w:t>
      </w:r>
      <w:r w:rsidR="0096005A">
        <w:rPr>
          <w:color w:val="575757"/>
        </w:rPr>
        <w:t>.</w:t>
      </w:r>
      <w:r w:rsidRPr="002C5048">
        <w:rPr>
          <w:color w:val="575757"/>
        </w:rPr>
        <w:t xml:space="preserve">, </w:t>
      </w:r>
      <w:r>
        <w:rPr>
          <w:color w:val="575757"/>
        </w:rPr>
        <w:t>41(9):</w:t>
      </w:r>
      <w:r w:rsidRPr="002C5048">
        <w:rPr>
          <w:color w:val="575757"/>
        </w:rPr>
        <w:t xml:space="preserve"> 1488-1508</w:t>
      </w:r>
    </w:p>
    <w:p w:rsidR="00BE2BF4" w:rsidRDefault="00BE2BF4">
      <w:pPr>
        <w:spacing w:before="16" w:line="200" w:lineRule="exact"/>
        <w:rPr>
          <w:sz w:val="20"/>
          <w:szCs w:val="20"/>
        </w:rPr>
      </w:pPr>
    </w:p>
    <w:p w:rsidR="00BE2BF4" w:rsidRDefault="0078422E">
      <w:pPr>
        <w:pStyle w:val="1"/>
        <w:numPr>
          <w:ilvl w:val="0"/>
          <w:numId w:val="1"/>
        </w:numPr>
        <w:tabs>
          <w:tab w:val="left" w:pos="1550"/>
        </w:tabs>
        <w:rPr>
          <w:b w:val="0"/>
          <w:bCs w:val="0"/>
        </w:rPr>
      </w:pPr>
      <w:r>
        <w:rPr>
          <w:color w:val="575757"/>
          <w:spacing w:val="2"/>
        </w:rPr>
        <w:t>B</w:t>
      </w:r>
      <w:r>
        <w:rPr>
          <w:color w:val="575757"/>
        </w:rPr>
        <w:t>i</w:t>
      </w:r>
      <w:r>
        <w:rPr>
          <w:color w:val="575757"/>
          <w:spacing w:val="-1"/>
        </w:rPr>
        <w:t>o</w:t>
      </w:r>
      <w:r>
        <w:rPr>
          <w:color w:val="575757"/>
          <w:spacing w:val="1"/>
        </w:rPr>
        <w:t>g</w:t>
      </w:r>
      <w:r>
        <w:rPr>
          <w:color w:val="575757"/>
          <w:spacing w:val="-1"/>
        </w:rPr>
        <w:t>r</w:t>
      </w:r>
      <w:r>
        <w:rPr>
          <w:color w:val="575757"/>
          <w:spacing w:val="-2"/>
        </w:rPr>
        <w:t>aph</w:t>
      </w:r>
      <w:r>
        <w:rPr>
          <w:color w:val="575757"/>
          <w:spacing w:val="1"/>
        </w:rPr>
        <w:t>y</w:t>
      </w:r>
      <w:r>
        <w:rPr>
          <w:color w:val="575757"/>
        </w:rPr>
        <w:t>:</w:t>
      </w:r>
    </w:p>
    <w:p w:rsidR="00BE2BF4" w:rsidRDefault="00BE2BF4">
      <w:pPr>
        <w:spacing w:line="110" w:lineRule="exact"/>
        <w:rPr>
          <w:sz w:val="11"/>
          <w:szCs w:val="11"/>
        </w:rPr>
      </w:pPr>
    </w:p>
    <w:p w:rsidR="00BE2BF4" w:rsidRDefault="008C0548">
      <w:pPr>
        <w:pStyle w:val="a3"/>
        <w:ind w:left="110" w:right="117"/>
        <w:jc w:val="both"/>
      </w:pPr>
      <w:r w:rsidRPr="008C0548">
        <w:rPr>
          <w:color w:val="575757"/>
        </w:rPr>
        <w:t xml:space="preserve">Dr. Tzong-Liu Wang currently is a Professor of the Department of Chemical and Materials Engineering and </w:t>
      </w:r>
      <w:r w:rsidR="00741F9E">
        <w:rPr>
          <w:color w:val="575757"/>
        </w:rPr>
        <w:t>had served</w:t>
      </w:r>
      <w:r w:rsidRPr="008C0548">
        <w:rPr>
          <w:color w:val="575757"/>
        </w:rPr>
        <w:t xml:space="preserve"> as Dean of the College of Engineering at National University of Kaohsiung. He received his B.S. degree in chemical engineering from National Tsing-Hua University and Ph.D. degree in materials science &amp; engineering from University of Utah. Dr. Wang joined National University of Kaohsiung in 2004. Dr. Wang’s current research interests include polymer solar cells, organic/inorganic nanohybrids, organic &amp; inorganic optoelectronic materials, functional polyurethanes, and synthesis and characteriza</w:t>
      </w:r>
      <w:r>
        <w:rPr>
          <w:color w:val="575757"/>
        </w:rPr>
        <w:t>tion of functional polymers</w:t>
      </w:r>
      <w:r w:rsidR="0078422E">
        <w:rPr>
          <w:color w:val="575757"/>
        </w:rPr>
        <w:t xml:space="preserve">. </w:t>
      </w:r>
    </w:p>
    <w:p w:rsidR="00BE2BF4" w:rsidRDefault="00BE2BF4">
      <w:pPr>
        <w:spacing w:before="10" w:line="200" w:lineRule="exact"/>
        <w:rPr>
          <w:sz w:val="20"/>
          <w:szCs w:val="20"/>
        </w:rPr>
      </w:pPr>
    </w:p>
    <w:p w:rsidR="00BE2BF4" w:rsidRDefault="0078422E">
      <w:pPr>
        <w:pStyle w:val="1"/>
        <w:numPr>
          <w:ilvl w:val="0"/>
          <w:numId w:val="1"/>
        </w:numPr>
        <w:tabs>
          <w:tab w:val="left" w:pos="1550"/>
        </w:tabs>
        <w:rPr>
          <w:b w:val="0"/>
          <w:bCs w:val="0"/>
        </w:rPr>
      </w:pPr>
      <w:r>
        <w:rPr>
          <w:color w:val="575757"/>
        </w:rPr>
        <w:t>Pr</w:t>
      </w:r>
      <w:r>
        <w:rPr>
          <w:color w:val="575757"/>
          <w:spacing w:val="-2"/>
        </w:rPr>
        <w:t>e</w:t>
      </w:r>
      <w:r>
        <w:rPr>
          <w:color w:val="575757"/>
        </w:rPr>
        <w:t>s</w:t>
      </w:r>
      <w:r>
        <w:rPr>
          <w:color w:val="575757"/>
          <w:spacing w:val="1"/>
        </w:rPr>
        <w:t>e</w:t>
      </w:r>
      <w:r>
        <w:rPr>
          <w:color w:val="575757"/>
          <w:spacing w:val="-2"/>
        </w:rPr>
        <w:t>n</w:t>
      </w:r>
      <w:r>
        <w:rPr>
          <w:color w:val="575757"/>
        </w:rPr>
        <w:t>ti</w:t>
      </w:r>
      <w:r>
        <w:rPr>
          <w:color w:val="575757"/>
          <w:spacing w:val="-2"/>
        </w:rPr>
        <w:t>n</w:t>
      </w:r>
      <w:r>
        <w:rPr>
          <w:color w:val="575757"/>
        </w:rPr>
        <w:t>g</w:t>
      </w:r>
      <w:r>
        <w:rPr>
          <w:color w:val="575757"/>
          <w:spacing w:val="1"/>
        </w:rPr>
        <w:t xml:space="preserve"> a</w:t>
      </w:r>
      <w:r>
        <w:rPr>
          <w:color w:val="575757"/>
          <w:spacing w:val="-2"/>
        </w:rPr>
        <w:t>u</w:t>
      </w:r>
      <w:r>
        <w:rPr>
          <w:color w:val="575757"/>
        </w:rPr>
        <w:t>th</w:t>
      </w:r>
      <w:r>
        <w:rPr>
          <w:color w:val="575757"/>
          <w:spacing w:val="-2"/>
        </w:rPr>
        <w:t>o</w:t>
      </w:r>
      <w:r>
        <w:rPr>
          <w:color w:val="575757"/>
        </w:rPr>
        <w:t>r</w:t>
      </w:r>
      <w:r>
        <w:rPr>
          <w:color w:val="575757"/>
          <w:spacing w:val="-4"/>
        </w:rPr>
        <w:t xml:space="preserve"> </w:t>
      </w:r>
      <w:r>
        <w:rPr>
          <w:color w:val="575757"/>
          <w:spacing w:val="-2"/>
        </w:rPr>
        <w:t>d</w:t>
      </w:r>
      <w:r>
        <w:rPr>
          <w:color w:val="575757"/>
          <w:spacing w:val="-1"/>
        </w:rPr>
        <w:t>e</w:t>
      </w:r>
      <w:r>
        <w:rPr>
          <w:color w:val="575757"/>
        </w:rPr>
        <w:t>t</w:t>
      </w:r>
      <w:r>
        <w:rPr>
          <w:color w:val="575757"/>
          <w:spacing w:val="-2"/>
        </w:rPr>
        <w:t>a</w:t>
      </w:r>
      <w:r>
        <w:rPr>
          <w:color w:val="575757"/>
        </w:rPr>
        <w:t>ils</w:t>
      </w:r>
    </w:p>
    <w:p w:rsidR="00BE2BF4" w:rsidRDefault="00BE2BF4">
      <w:pPr>
        <w:spacing w:before="18" w:line="200" w:lineRule="exact"/>
        <w:rPr>
          <w:sz w:val="20"/>
          <w:szCs w:val="20"/>
        </w:rPr>
      </w:pPr>
    </w:p>
    <w:p w:rsidR="00BE2BF4" w:rsidRDefault="00741F9E">
      <w:pPr>
        <w:ind w:left="106"/>
        <w:rPr>
          <w:rFonts w:ascii="Times New Roman" w:eastAsia="Times New Roman" w:hAnsi="Times New Roman" w:cs="Times New Roman"/>
          <w:sz w:val="20"/>
          <w:szCs w:val="20"/>
        </w:rPr>
      </w:pPr>
      <w:r w:rsidRPr="009F7EAC">
        <w:rPr>
          <w:rFonts w:ascii="Times New Roman" w:hAnsi="Times New Roman"/>
          <w:b/>
          <w:noProof/>
          <w:sz w:val="24"/>
          <w:szCs w:val="28"/>
          <w:lang w:eastAsia="zh-TW"/>
        </w:rPr>
        <w:drawing>
          <wp:inline distT="0" distB="0" distL="0" distR="0">
            <wp:extent cx="1013362" cy="1159206"/>
            <wp:effectExtent l="0" t="0" r="0" b="0"/>
            <wp:docPr id="2" name="圖片 2" descr="TLW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LW pho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6961" cy="1174762"/>
                    </a:xfrm>
                    <a:prstGeom prst="rect">
                      <a:avLst/>
                    </a:prstGeom>
                    <a:noFill/>
                    <a:ln>
                      <a:noFill/>
                    </a:ln>
                  </pic:spPr>
                </pic:pic>
              </a:graphicData>
            </a:graphic>
          </wp:inline>
        </w:drawing>
      </w:r>
    </w:p>
    <w:p w:rsidR="00BE2BF4" w:rsidRDefault="00BE2BF4">
      <w:pPr>
        <w:spacing w:before="7" w:line="160" w:lineRule="exact"/>
        <w:rPr>
          <w:sz w:val="16"/>
          <w:szCs w:val="16"/>
        </w:rPr>
      </w:pPr>
    </w:p>
    <w:p w:rsidR="00BE2BF4" w:rsidRDefault="0078422E" w:rsidP="00741F9E">
      <w:pPr>
        <w:pStyle w:val="a3"/>
        <w:spacing w:line="241" w:lineRule="auto"/>
        <w:ind w:left="110" w:right="2610"/>
      </w:pPr>
      <w:r>
        <w:rPr>
          <w:color w:val="575757"/>
        </w:rPr>
        <w:t>F</w:t>
      </w:r>
      <w:r>
        <w:rPr>
          <w:color w:val="575757"/>
          <w:spacing w:val="1"/>
        </w:rPr>
        <w:t>u</w:t>
      </w:r>
      <w:r>
        <w:rPr>
          <w:color w:val="575757"/>
        </w:rPr>
        <w:t>ll N</w:t>
      </w:r>
      <w:r>
        <w:rPr>
          <w:color w:val="575757"/>
          <w:spacing w:val="-2"/>
        </w:rPr>
        <w:t>a</w:t>
      </w:r>
      <w:r>
        <w:rPr>
          <w:color w:val="575757"/>
          <w:spacing w:val="-4"/>
        </w:rPr>
        <w:t>m</w:t>
      </w:r>
      <w:r>
        <w:rPr>
          <w:color w:val="575757"/>
        </w:rPr>
        <w:t xml:space="preserve">e: </w:t>
      </w:r>
      <w:r w:rsidR="00741F9E" w:rsidRPr="00741F9E">
        <w:rPr>
          <w:color w:val="575757"/>
        </w:rPr>
        <w:t>Tzong-Liu Wang</w:t>
      </w:r>
      <w:r>
        <w:rPr>
          <w:color w:val="575757"/>
        </w:rPr>
        <w:t xml:space="preserve"> </w:t>
      </w:r>
    </w:p>
    <w:p w:rsidR="00BE2BF4" w:rsidRDefault="0078422E">
      <w:pPr>
        <w:pStyle w:val="a3"/>
        <w:spacing w:line="205" w:lineRule="exact"/>
        <w:ind w:left="110"/>
      </w:pPr>
      <w:r>
        <w:rPr>
          <w:color w:val="575757"/>
        </w:rPr>
        <w:t>S</w:t>
      </w:r>
      <w:r>
        <w:rPr>
          <w:color w:val="575757"/>
          <w:spacing w:val="-1"/>
        </w:rPr>
        <w:t>e</w:t>
      </w:r>
      <w:r>
        <w:rPr>
          <w:color w:val="575757"/>
        </w:rPr>
        <w:t>s</w:t>
      </w:r>
      <w:r>
        <w:rPr>
          <w:color w:val="575757"/>
          <w:spacing w:val="-1"/>
        </w:rPr>
        <w:t>s</w:t>
      </w:r>
      <w:r>
        <w:rPr>
          <w:color w:val="575757"/>
        </w:rPr>
        <w:t>i</w:t>
      </w:r>
      <w:r>
        <w:rPr>
          <w:color w:val="575757"/>
          <w:spacing w:val="1"/>
        </w:rPr>
        <w:t>o</w:t>
      </w:r>
      <w:r>
        <w:rPr>
          <w:color w:val="575757"/>
        </w:rPr>
        <w:t>n</w:t>
      </w:r>
      <w:r>
        <w:rPr>
          <w:color w:val="575757"/>
          <w:spacing w:val="-1"/>
        </w:rPr>
        <w:t xml:space="preserve"> </w:t>
      </w:r>
      <w:r>
        <w:rPr>
          <w:color w:val="575757"/>
          <w:spacing w:val="1"/>
        </w:rPr>
        <w:t>n</w:t>
      </w:r>
      <w:r>
        <w:rPr>
          <w:color w:val="575757"/>
          <w:spacing w:val="-1"/>
        </w:rPr>
        <w:t>a</w:t>
      </w:r>
      <w:r>
        <w:rPr>
          <w:color w:val="575757"/>
          <w:spacing w:val="-4"/>
        </w:rPr>
        <w:t>m</w:t>
      </w:r>
      <w:r>
        <w:rPr>
          <w:color w:val="575757"/>
          <w:spacing w:val="-1"/>
        </w:rPr>
        <w:t>e</w:t>
      </w:r>
      <w:r>
        <w:rPr>
          <w:color w:val="575757"/>
        </w:rPr>
        <w:t xml:space="preserve">/ </w:t>
      </w:r>
      <w:r>
        <w:rPr>
          <w:color w:val="575757"/>
          <w:spacing w:val="1"/>
        </w:rPr>
        <w:t>nu</w:t>
      </w:r>
      <w:r>
        <w:rPr>
          <w:color w:val="575757"/>
          <w:spacing w:val="-4"/>
        </w:rPr>
        <w:t>m</w:t>
      </w:r>
      <w:r>
        <w:rPr>
          <w:color w:val="575757"/>
          <w:spacing w:val="1"/>
        </w:rPr>
        <w:t>b</w:t>
      </w:r>
      <w:r>
        <w:rPr>
          <w:color w:val="575757"/>
          <w:spacing w:val="-1"/>
        </w:rPr>
        <w:t>e</w:t>
      </w:r>
      <w:r>
        <w:rPr>
          <w:color w:val="575757"/>
        </w:rPr>
        <w:t>r:</w:t>
      </w:r>
      <w:r w:rsidR="008D6E26">
        <w:rPr>
          <w:color w:val="575757"/>
        </w:rPr>
        <w:t xml:space="preserve"> </w:t>
      </w:r>
      <w:r w:rsidR="008D6E26" w:rsidRPr="008D6E26">
        <w:rPr>
          <w:color w:val="575757"/>
        </w:rPr>
        <w:t>Advanced Bio-Materials &amp; Bio-Devices</w:t>
      </w:r>
      <w:bookmarkStart w:id="0" w:name="_GoBack"/>
      <w:bookmarkEnd w:id="0"/>
    </w:p>
    <w:p w:rsidR="003A6C32" w:rsidRDefault="0078422E">
      <w:pPr>
        <w:pStyle w:val="a3"/>
        <w:spacing w:before="2" w:line="206" w:lineRule="exact"/>
        <w:ind w:left="110" w:right="1744"/>
        <w:rPr>
          <w:color w:val="575757"/>
        </w:rPr>
      </w:pPr>
      <w:r>
        <w:rPr>
          <w:color w:val="575757"/>
        </w:rPr>
        <w:t>C</w:t>
      </w:r>
      <w:r>
        <w:rPr>
          <w:color w:val="575757"/>
          <w:spacing w:val="-1"/>
        </w:rPr>
        <w:t>a</w:t>
      </w:r>
      <w:r>
        <w:rPr>
          <w:color w:val="575757"/>
        </w:rPr>
        <w:t>te</w:t>
      </w:r>
      <w:r>
        <w:rPr>
          <w:color w:val="575757"/>
          <w:spacing w:val="-2"/>
        </w:rPr>
        <w:t>g</w:t>
      </w:r>
      <w:r>
        <w:rPr>
          <w:color w:val="575757"/>
          <w:spacing w:val="1"/>
        </w:rPr>
        <w:t>o</w:t>
      </w:r>
      <w:r>
        <w:rPr>
          <w:color w:val="575757"/>
          <w:spacing w:val="2"/>
        </w:rPr>
        <w:t>r</w:t>
      </w:r>
      <w:r>
        <w:rPr>
          <w:color w:val="575757"/>
          <w:spacing w:val="-4"/>
        </w:rPr>
        <w:t>y</w:t>
      </w:r>
      <w:r w:rsidR="003A6C32">
        <w:rPr>
          <w:color w:val="575757"/>
        </w:rPr>
        <w:t xml:space="preserve">: </w:t>
      </w:r>
      <w:r>
        <w:rPr>
          <w:color w:val="575757"/>
        </w:rPr>
        <w:t>P</w:t>
      </w:r>
      <w:r>
        <w:rPr>
          <w:color w:val="575757"/>
          <w:spacing w:val="1"/>
        </w:rPr>
        <w:t>o</w:t>
      </w:r>
      <w:r>
        <w:rPr>
          <w:color w:val="575757"/>
          <w:spacing w:val="-3"/>
        </w:rPr>
        <w:t>s</w:t>
      </w:r>
      <w:r>
        <w:rPr>
          <w:color w:val="575757"/>
        </w:rPr>
        <w:t xml:space="preserve">ter </w:t>
      </w:r>
      <w:r>
        <w:rPr>
          <w:color w:val="575757"/>
          <w:spacing w:val="1"/>
        </w:rPr>
        <w:t>p</w:t>
      </w:r>
      <w:r>
        <w:rPr>
          <w:color w:val="575757"/>
        </w:rPr>
        <w:t>r</w:t>
      </w:r>
      <w:r>
        <w:rPr>
          <w:color w:val="575757"/>
          <w:spacing w:val="-1"/>
        </w:rPr>
        <w:t>e</w:t>
      </w:r>
      <w:r>
        <w:rPr>
          <w:color w:val="575757"/>
        </w:rPr>
        <w:t>s</w:t>
      </w:r>
      <w:r>
        <w:rPr>
          <w:color w:val="575757"/>
          <w:spacing w:val="-2"/>
        </w:rPr>
        <w:t>e</w:t>
      </w:r>
      <w:r>
        <w:rPr>
          <w:color w:val="575757"/>
          <w:spacing w:val="1"/>
        </w:rPr>
        <w:t>n</w:t>
      </w:r>
      <w:r>
        <w:rPr>
          <w:color w:val="575757"/>
        </w:rPr>
        <w:t>tati</w:t>
      </w:r>
      <w:r>
        <w:rPr>
          <w:color w:val="575757"/>
          <w:spacing w:val="-1"/>
        </w:rPr>
        <w:t>o</w:t>
      </w:r>
      <w:r>
        <w:rPr>
          <w:color w:val="575757"/>
          <w:spacing w:val="1"/>
        </w:rPr>
        <w:t>n</w:t>
      </w:r>
      <w:r>
        <w:rPr>
          <w:color w:val="575757"/>
        </w:rPr>
        <w:t xml:space="preserve"> </w:t>
      </w:r>
    </w:p>
    <w:sectPr w:rsidR="003A6C32">
      <w:type w:val="continuous"/>
      <w:pgSz w:w="11912" w:h="16860"/>
      <w:pgMar w:top="1220" w:right="440" w:bottom="280" w:left="460" w:header="720" w:footer="720" w:gutter="0"/>
      <w:cols w:num="2" w:space="720" w:equalWidth="0">
        <w:col w:w="5320" w:space="247"/>
        <w:col w:w="54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3A3" w:rsidRDefault="005603A3" w:rsidP="00581ABE">
      <w:r>
        <w:separator/>
      </w:r>
    </w:p>
  </w:endnote>
  <w:endnote w:type="continuationSeparator" w:id="0">
    <w:p w:rsidR="005603A3" w:rsidRDefault="005603A3" w:rsidP="0058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3A3" w:rsidRDefault="005603A3" w:rsidP="00581ABE">
      <w:r>
        <w:separator/>
      </w:r>
    </w:p>
  </w:footnote>
  <w:footnote w:type="continuationSeparator" w:id="0">
    <w:p w:rsidR="005603A3" w:rsidRDefault="005603A3" w:rsidP="00581A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A7572"/>
    <w:multiLevelType w:val="hybridMultilevel"/>
    <w:tmpl w:val="D724226E"/>
    <w:lvl w:ilvl="0" w:tplc="323EC67A">
      <w:start w:val="2"/>
      <w:numFmt w:val="decimal"/>
      <w:lvlText w:val="%1."/>
      <w:lvlJc w:val="left"/>
      <w:pPr>
        <w:ind w:hanging="360"/>
      </w:pPr>
      <w:rPr>
        <w:rFonts w:ascii="Times New Roman" w:eastAsia="Times New Roman" w:hAnsi="Times New Roman" w:hint="default"/>
        <w:color w:val="575757"/>
        <w:spacing w:val="1"/>
        <w:w w:val="96"/>
        <w:sz w:val="19"/>
        <w:szCs w:val="19"/>
      </w:rPr>
    </w:lvl>
    <w:lvl w:ilvl="1" w:tplc="E31C23E6">
      <w:start w:val="1"/>
      <w:numFmt w:val="bullet"/>
      <w:lvlText w:val="•"/>
      <w:lvlJc w:val="left"/>
      <w:rPr>
        <w:rFonts w:hint="default"/>
      </w:rPr>
    </w:lvl>
    <w:lvl w:ilvl="2" w:tplc="B13AB0A2">
      <w:start w:val="1"/>
      <w:numFmt w:val="bullet"/>
      <w:lvlText w:val="•"/>
      <w:lvlJc w:val="left"/>
      <w:rPr>
        <w:rFonts w:hint="default"/>
      </w:rPr>
    </w:lvl>
    <w:lvl w:ilvl="3" w:tplc="D334FCDA">
      <w:start w:val="1"/>
      <w:numFmt w:val="bullet"/>
      <w:lvlText w:val="•"/>
      <w:lvlJc w:val="left"/>
      <w:rPr>
        <w:rFonts w:hint="default"/>
      </w:rPr>
    </w:lvl>
    <w:lvl w:ilvl="4" w:tplc="EA1E23D8">
      <w:start w:val="1"/>
      <w:numFmt w:val="bullet"/>
      <w:lvlText w:val="•"/>
      <w:lvlJc w:val="left"/>
      <w:rPr>
        <w:rFonts w:hint="default"/>
      </w:rPr>
    </w:lvl>
    <w:lvl w:ilvl="5" w:tplc="6D20FDCC">
      <w:start w:val="1"/>
      <w:numFmt w:val="bullet"/>
      <w:lvlText w:val="•"/>
      <w:lvlJc w:val="left"/>
      <w:rPr>
        <w:rFonts w:hint="default"/>
      </w:rPr>
    </w:lvl>
    <w:lvl w:ilvl="6" w:tplc="3642D6A0">
      <w:start w:val="1"/>
      <w:numFmt w:val="bullet"/>
      <w:lvlText w:val="•"/>
      <w:lvlJc w:val="left"/>
      <w:rPr>
        <w:rFonts w:hint="default"/>
      </w:rPr>
    </w:lvl>
    <w:lvl w:ilvl="7" w:tplc="5F6E8F2A">
      <w:start w:val="1"/>
      <w:numFmt w:val="bullet"/>
      <w:lvlText w:val="•"/>
      <w:lvlJc w:val="left"/>
      <w:rPr>
        <w:rFonts w:hint="default"/>
      </w:rPr>
    </w:lvl>
    <w:lvl w:ilvl="8" w:tplc="D73A4DB8">
      <w:start w:val="1"/>
      <w:numFmt w:val="bullet"/>
      <w:lvlText w:val="•"/>
      <w:lvlJc w:val="left"/>
      <w:rPr>
        <w:rFonts w:hint="default"/>
      </w:rPr>
    </w:lvl>
  </w:abstractNum>
  <w:abstractNum w:abstractNumId="1" w15:restartNumberingAfterBreak="0">
    <w:nsid w:val="30BF57F3"/>
    <w:multiLevelType w:val="hybridMultilevel"/>
    <w:tmpl w:val="89FE62F4"/>
    <w:lvl w:ilvl="0" w:tplc="B51A1A80">
      <w:start w:val="1"/>
      <w:numFmt w:val="upperRoman"/>
      <w:lvlText w:val="%1."/>
      <w:lvlJc w:val="left"/>
      <w:pPr>
        <w:ind w:hanging="447"/>
      </w:pPr>
      <w:rPr>
        <w:rFonts w:ascii="Times New Roman" w:eastAsia="Times New Roman" w:hAnsi="Times New Roman" w:hint="default"/>
        <w:b/>
        <w:bCs/>
        <w:color w:val="575757"/>
        <w:w w:val="96"/>
        <w:sz w:val="19"/>
        <w:szCs w:val="19"/>
      </w:rPr>
    </w:lvl>
    <w:lvl w:ilvl="1" w:tplc="26E6C1BE">
      <w:start w:val="1"/>
      <w:numFmt w:val="bullet"/>
      <w:lvlText w:val="•"/>
      <w:lvlJc w:val="left"/>
      <w:rPr>
        <w:rFonts w:hint="default"/>
      </w:rPr>
    </w:lvl>
    <w:lvl w:ilvl="2" w:tplc="22EADB22">
      <w:start w:val="1"/>
      <w:numFmt w:val="bullet"/>
      <w:lvlText w:val="•"/>
      <w:lvlJc w:val="left"/>
      <w:rPr>
        <w:rFonts w:hint="default"/>
      </w:rPr>
    </w:lvl>
    <w:lvl w:ilvl="3" w:tplc="6B6A53D4">
      <w:start w:val="1"/>
      <w:numFmt w:val="bullet"/>
      <w:lvlText w:val="•"/>
      <w:lvlJc w:val="left"/>
      <w:rPr>
        <w:rFonts w:hint="default"/>
      </w:rPr>
    </w:lvl>
    <w:lvl w:ilvl="4" w:tplc="6382F482">
      <w:start w:val="1"/>
      <w:numFmt w:val="bullet"/>
      <w:lvlText w:val="•"/>
      <w:lvlJc w:val="left"/>
      <w:rPr>
        <w:rFonts w:hint="default"/>
      </w:rPr>
    </w:lvl>
    <w:lvl w:ilvl="5" w:tplc="C40C91E4">
      <w:start w:val="1"/>
      <w:numFmt w:val="bullet"/>
      <w:lvlText w:val="•"/>
      <w:lvlJc w:val="left"/>
      <w:rPr>
        <w:rFonts w:hint="default"/>
      </w:rPr>
    </w:lvl>
    <w:lvl w:ilvl="6" w:tplc="3DE8803C">
      <w:start w:val="1"/>
      <w:numFmt w:val="bullet"/>
      <w:lvlText w:val="•"/>
      <w:lvlJc w:val="left"/>
      <w:rPr>
        <w:rFonts w:hint="default"/>
      </w:rPr>
    </w:lvl>
    <w:lvl w:ilvl="7" w:tplc="F22C2BBE">
      <w:start w:val="1"/>
      <w:numFmt w:val="bullet"/>
      <w:lvlText w:val="•"/>
      <w:lvlJc w:val="left"/>
      <w:rPr>
        <w:rFonts w:hint="default"/>
      </w:rPr>
    </w:lvl>
    <w:lvl w:ilvl="8" w:tplc="72C09810">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docVars>
    <w:docVar w:name="__Grammarly_42____i" w:val="H4sIAAAAAAAEAKtWckksSQxILCpxzi/NK1GyMqwFAAEhoTITAAAA"/>
    <w:docVar w:name="__Grammarly_42___1" w:val="H4sIAAAAAAAEAKtWcslP9kxRslIyNDYyMjUztjAyMbI0NDQwM7ZU0lEKTi0uzszPAykwrQUAX5ImHCwAAAA="/>
  </w:docVars>
  <w:rsids>
    <w:rsidRoot w:val="00BE2BF4"/>
    <w:rsid w:val="000944F8"/>
    <w:rsid w:val="00122337"/>
    <w:rsid w:val="001A4C73"/>
    <w:rsid w:val="001C1524"/>
    <w:rsid w:val="00265546"/>
    <w:rsid w:val="002C5048"/>
    <w:rsid w:val="00330961"/>
    <w:rsid w:val="003A6C32"/>
    <w:rsid w:val="003B6F22"/>
    <w:rsid w:val="0043087D"/>
    <w:rsid w:val="004B40B9"/>
    <w:rsid w:val="004E7DC4"/>
    <w:rsid w:val="004F2400"/>
    <w:rsid w:val="005603A3"/>
    <w:rsid w:val="00581ABE"/>
    <w:rsid w:val="00585498"/>
    <w:rsid w:val="006057B2"/>
    <w:rsid w:val="00644252"/>
    <w:rsid w:val="006E6C74"/>
    <w:rsid w:val="00717C95"/>
    <w:rsid w:val="00741F9E"/>
    <w:rsid w:val="0078422E"/>
    <w:rsid w:val="00820CC8"/>
    <w:rsid w:val="00836F91"/>
    <w:rsid w:val="008C0548"/>
    <w:rsid w:val="008D6E26"/>
    <w:rsid w:val="0096005A"/>
    <w:rsid w:val="00A945CB"/>
    <w:rsid w:val="00B955D1"/>
    <w:rsid w:val="00BE2BF4"/>
    <w:rsid w:val="00C56F38"/>
    <w:rsid w:val="00E72E69"/>
    <w:rsid w:val="00E75F15"/>
    <w:rsid w:val="00F30C9A"/>
    <w:rsid w:val="00F514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EC8231-5AF1-441C-8605-7B836DA1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ind w:left="1550"/>
      <w:outlineLvl w:val="0"/>
    </w:pPr>
    <w:rPr>
      <w:rFonts w:ascii="Times New Roman" w:eastAsia="Times New Roman" w:hAnsi="Times New Roman"/>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30"/>
    </w:pPr>
    <w:rPr>
      <w:rFonts w:ascii="Times New Roman" w:eastAsia="Times New Roman" w:hAnsi="Times New Roman"/>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581ABE"/>
    <w:pPr>
      <w:tabs>
        <w:tab w:val="center" w:pos="4153"/>
        <w:tab w:val="right" w:pos="8306"/>
      </w:tabs>
      <w:snapToGrid w:val="0"/>
    </w:pPr>
    <w:rPr>
      <w:sz w:val="20"/>
      <w:szCs w:val="20"/>
    </w:rPr>
  </w:style>
  <w:style w:type="character" w:customStyle="1" w:styleId="a6">
    <w:name w:val="頁首 字元"/>
    <w:basedOn w:val="a0"/>
    <w:link w:val="a5"/>
    <w:uiPriority w:val="99"/>
    <w:rsid w:val="00581ABE"/>
    <w:rPr>
      <w:sz w:val="20"/>
      <w:szCs w:val="20"/>
    </w:rPr>
  </w:style>
  <w:style w:type="paragraph" w:styleId="a7">
    <w:name w:val="footer"/>
    <w:basedOn w:val="a"/>
    <w:link w:val="a8"/>
    <w:uiPriority w:val="99"/>
    <w:unhideWhenUsed/>
    <w:rsid w:val="00581ABE"/>
    <w:pPr>
      <w:tabs>
        <w:tab w:val="center" w:pos="4153"/>
        <w:tab w:val="right" w:pos="8306"/>
      </w:tabs>
      <w:snapToGrid w:val="0"/>
    </w:pPr>
    <w:rPr>
      <w:sz w:val="20"/>
      <w:szCs w:val="20"/>
    </w:rPr>
  </w:style>
  <w:style w:type="character" w:customStyle="1" w:styleId="a8">
    <w:name w:val="頁尾 字元"/>
    <w:basedOn w:val="a0"/>
    <w:link w:val="a7"/>
    <w:uiPriority w:val="99"/>
    <w:rsid w:val="00581A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2157B-C397-4DE3-868F-DABF8B778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tlwang1 tlwang1</cp:lastModifiedBy>
  <cp:revision>33</cp:revision>
  <dcterms:created xsi:type="dcterms:W3CDTF">2020-02-08T16:29:00Z</dcterms:created>
  <dcterms:modified xsi:type="dcterms:W3CDTF">2020-02-09T08:04:00Z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LastSaved">
    <vt:filetime>2020-02-08T00:00:00Z</vt:filetime>
  </property>
</Properties>
</file>