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257" w:rsidRPr="00330F5B" w:rsidRDefault="00690257" w:rsidP="005B1E03">
      <w:pPr>
        <w:spacing w:line="480" w:lineRule="auto"/>
        <w:jc w:val="center"/>
        <w:rPr>
          <w:rFonts w:ascii="Times New Roman" w:hAnsi="Times New Roman" w:cs="Times New Roman"/>
          <w:b/>
          <w:sz w:val="24"/>
          <w:szCs w:val="24"/>
          <w:u w:val="single"/>
        </w:rPr>
      </w:pPr>
      <w:r w:rsidRPr="00330F5B">
        <w:rPr>
          <w:rFonts w:ascii="Times New Roman" w:hAnsi="Times New Roman" w:cs="Times New Roman"/>
          <w:b/>
          <w:sz w:val="24"/>
          <w:szCs w:val="24"/>
          <w:u w:val="single"/>
        </w:rPr>
        <w:t>Abstract</w:t>
      </w:r>
    </w:p>
    <w:p w:rsidR="00654A77" w:rsidRDefault="00654A77" w:rsidP="005B1E03">
      <w:pPr>
        <w:spacing w:line="480" w:lineRule="auto"/>
        <w:rPr>
          <w:rFonts w:ascii="Times New Roman" w:hAnsi="Times New Roman" w:cs="Times New Roman"/>
          <w:sz w:val="24"/>
          <w:szCs w:val="24"/>
        </w:rPr>
      </w:pPr>
      <w:r w:rsidRPr="005B5057">
        <w:rPr>
          <w:rFonts w:ascii="Times New Roman" w:hAnsi="Times New Roman" w:cs="Times New Roman"/>
          <w:sz w:val="24"/>
          <w:szCs w:val="24"/>
        </w:rPr>
        <w:t>The most common known adverse effects of Neurontin include dizziness, fatigue, drowsiness, ataxia, edema, nystagmus and tremor. These side effects are thought to occur due to GABA’s inhibitory effect on the body. To our knowledge, there is no documentation of pancreatitis as a known adverse effect.  The use of Neurontin in patients who abuse alcohol and the possible effects on the pancreas will be discussed here. Neurontin has been shown to be safe in alcoholics and even helpful in reducing alcoholic cravings and decreases the side effects of alcohol withdrawal such as insomnia, dysphoria, and anxiety.</w:t>
      </w:r>
      <w:bookmarkStart w:id="0" w:name="_GoBack"/>
      <w:bookmarkEnd w:id="0"/>
    </w:p>
    <w:p w:rsidR="00136C63" w:rsidRDefault="00654A77" w:rsidP="005B1E03">
      <w:pPr>
        <w:spacing w:line="480" w:lineRule="auto"/>
        <w:rPr>
          <w:rFonts w:ascii="Times New Roman" w:hAnsi="Times New Roman" w:cs="Times New Roman"/>
          <w:sz w:val="24"/>
          <w:szCs w:val="24"/>
        </w:rPr>
      </w:pPr>
      <w:r w:rsidRPr="005B5057">
        <w:rPr>
          <w:rFonts w:ascii="Times New Roman" w:hAnsi="Times New Roman" w:cs="Times New Roman"/>
          <w:sz w:val="24"/>
          <w:szCs w:val="24"/>
        </w:rPr>
        <w:t xml:space="preserve">Alcohol predisposes the pancreas to damage and further episodes of pancreatitis and that sometimes a second insult, such as a drug, is required to cause acute pancreatitis. </w:t>
      </w:r>
    </w:p>
    <w:p w:rsidR="00654A77" w:rsidRPr="005B5057" w:rsidRDefault="00654A77" w:rsidP="005B1E03">
      <w:pPr>
        <w:spacing w:line="480" w:lineRule="auto"/>
        <w:rPr>
          <w:rFonts w:ascii="Times New Roman" w:hAnsi="Times New Roman" w:cs="Times New Roman"/>
          <w:sz w:val="24"/>
          <w:szCs w:val="24"/>
        </w:rPr>
      </w:pPr>
      <w:r w:rsidRPr="005B5057">
        <w:rPr>
          <w:rFonts w:ascii="Times New Roman" w:hAnsi="Times New Roman" w:cs="Times New Roman"/>
          <w:sz w:val="24"/>
          <w:szCs w:val="24"/>
        </w:rPr>
        <w:t>The implication of the case report is to bring awareness to physicians that prescribing drugs such as Neurontin to alcoholic patients who are already susceptible to pancreatitis may increase their risk for an acute pancreatitis exacerbation.</w:t>
      </w:r>
    </w:p>
    <w:p w:rsidR="00690257" w:rsidRPr="00705779" w:rsidRDefault="00690257" w:rsidP="00690257">
      <w:pPr>
        <w:rPr>
          <w:rFonts w:ascii="Times New Roman" w:hAnsi="Times New Roman" w:cs="Times New Roman"/>
          <w:sz w:val="24"/>
          <w:szCs w:val="24"/>
        </w:rPr>
      </w:pPr>
    </w:p>
    <w:p w:rsidR="002D1CD2" w:rsidRDefault="002D1CD2"/>
    <w:sectPr w:rsidR="002D1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257"/>
    <w:rsid w:val="00136C63"/>
    <w:rsid w:val="002D1CD2"/>
    <w:rsid w:val="005B1E03"/>
    <w:rsid w:val="00654A77"/>
    <w:rsid w:val="00690257"/>
    <w:rsid w:val="00C71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AD18"/>
  <w15:chartTrackingRefBased/>
  <w15:docId w15:val="{7FDF170F-2615-433B-97A4-18C8EA95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902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Aikoye, Salisu Adejo</dc:creator>
  <cp:keywords/>
  <dc:description/>
  <cp:lastModifiedBy>Aikoye, Salisu Adejo</cp:lastModifiedBy>
  <cp:revision>5</cp:revision>
  <dcterms:created xsi:type="dcterms:W3CDTF">2018-01-02T20:54:00Z</dcterms:created>
  <dcterms:modified xsi:type="dcterms:W3CDTF">2018-01-02T21:45:00Z</dcterms:modified>
</cp:coreProperties>
</file>