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Title: Long-term Outcomes of Alcohol Deaddiction Treatment in Rural South India: A 10-Year Follow-up Study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Background: Alcohol use disorders are a significant public health concern in rural India, with limited access to treatment services.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Objective: To evaluate the long-term effectiveness of alcohol deaddiction treatment in a rural population in South India.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Methods: This longitudinal study followed 582 participants who received treatment for alcohol use disorder at a rural treatment center between 2013 - 2014. Participants were assessed at baseline, 1-year, 5-years, and 10-years post-treatment using standardized tools.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Results: At 10-year follow-up, 76.3% of participants reported sustained abstinence, while 23.7% reported restarting drinking alcohol. Significant improvements were observed in mental health, social functioning, and quality of life. Predictors of long-term abstinence included family support, peer support, and engagement in aftercare programs.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bidi w:val="0"/>
        <w:spacing w:before="0"/>
        <w:ind w:left="0" w:right="0" w:firstLine="0"/>
        <w:jc w:val="both"/>
        <w:rPr>
          <w:rtl w:val="0"/>
        </w:rPr>
      </w:pPr>
      <w:r>
        <w:rPr>
          <w:rFonts w:ascii="Times New Roman" w:hAnsi="Times New Roman"/>
          <w:rtl w:val="0"/>
          <w:lang w:val="en-US"/>
        </w:rPr>
        <w:t xml:space="preserve">Conclusion: This study demonstrates the effectiveness of alcohol deaddiction treatment </w:t>
      </w:r>
      <w:r>
        <w:rPr>
          <w:rFonts w:ascii="Times New Roman" w:hAnsi="Times New Roman"/>
          <w:rtl w:val="0"/>
          <w:lang w:val="en-US"/>
        </w:rPr>
        <w:t xml:space="preserve">with collaborative care approaches combining medical, psychological &amp; social support </w:t>
      </w:r>
      <w:r>
        <w:rPr>
          <w:rFonts w:ascii="Times New Roman" w:hAnsi="Times New Roman"/>
          <w:rtl w:val="0"/>
          <w:lang w:val="en-US"/>
        </w:rPr>
        <w:t>in a rural South Indian population, with sustained benefits observed over 10 years. Findings highlight the importance of community-based support and aftercare programs in promoting long-term recovery</w:t>
      </w:r>
      <w:r>
        <w:rPr>
          <w:rFonts w:ascii="Times New Roman" w:hAnsi="Times New Roman"/>
          <w:rtl w:val="0"/>
          <w:lang w:val="en-US"/>
        </w:rPr>
        <w:t xml:space="preserve"> which in turn adds on in stabilizing society as a whole.</w:t>
      </w:r>
      <w:r>
        <w:rPr>
          <w:rFonts w:ascii="Times New Roman" w:cs="Times New Roman" w:hAnsi="Times New Roman" w:eastAsia="Times New Roman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