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64C" w:rsidRPr="0005164C" w:rsidRDefault="0005164C" w:rsidP="00466E41">
      <w:pPr>
        <w:pStyle w:val="Author"/>
        <w:jc w:val="both"/>
        <w:rPr>
          <w:rFonts w:eastAsia="MS Mincho"/>
          <w:sz w:val="18"/>
          <w:szCs w:val="18"/>
        </w:rPr>
        <w:sectPr w:rsidR="0005164C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ED4A1B" w:rsidRPr="00CD1080" w:rsidRDefault="00ED4A1B" w:rsidP="00ED4A1B">
      <w:pPr>
        <w:jc w:val="both"/>
        <w:rPr>
          <w:bCs/>
          <w:sz w:val="28"/>
          <w:szCs w:val="28"/>
          <w:vertAlign w:val="superscript"/>
        </w:rPr>
      </w:pPr>
      <w:r w:rsidRPr="00CD1080">
        <w:rPr>
          <w:b/>
          <w:bCs/>
          <w:sz w:val="28"/>
          <w:szCs w:val="28"/>
        </w:rPr>
        <w:lastRenderedPageBreak/>
        <w:t xml:space="preserve">Genome-wide analysis of </w:t>
      </w:r>
      <w:r w:rsidRPr="00CD1080">
        <w:rPr>
          <w:b/>
          <w:bCs/>
          <w:i/>
          <w:sz w:val="28"/>
          <w:szCs w:val="28"/>
        </w:rPr>
        <w:t>NeuroD</w:t>
      </w:r>
      <w:r w:rsidRPr="00CD1080">
        <w:rPr>
          <w:b/>
          <w:bCs/>
          <w:sz w:val="28"/>
          <w:szCs w:val="28"/>
        </w:rPr>
        <w:t xml:space="preserve"> </w:t>
      </w:r>
      <w:r w:rsidRPr="00CD1080">
        <w:rPr>
          <w:b/>
          <w:bCs/>
          <w:i/>
          <w:sz w:val="28"/>
          <w:szCs w:val="28"/>
        </w:rPr>
        <w:t>family</w:t>
      </w:r>
      <w:r w:rsidRPr="00CD1080">
        <w:rPr>
          <w:b/>
          <w:bCs/>
          <w:sz w:val="28"/>
          <w:szCs w:val="28"/>
        </w:rPr>
        <w:t xml:space="preserve"> of </w:t>
      </w:r>
      <w:r w:rsidRPr="00CD1080">
        <w:rPr>
          <w:b/>
          <w:bCs/>
          <w:i/>
          <w:sz w:val="28"/>
          <w:szCs w:val="28"/>
        </w:rPr>
        <w:t>bHLH transcription factor</w:t>
      </w:r>
      <w:r w:rsidRPr="00CD1080">
        <w:rPr>
          <w:bCs/>
          <w:sz w:val="28"/>
          <w:szCs w:val="28"/>
        </w:rPr>
        <w:t xml:space="preserve"> </w:t>
      </w:r>
    </w:p>
    <w:p w:rsidR="0005164C" w:rsidRPr="00CD1080" w:rsidRDefault="0005164C" w:rsidP="003C0794">
      <w:pPr>
        <w:jc w:val="both"/>
        <w:rPr>
          <w:rFonts w:eastAsia="MS PGothic"/>
          <w:color w:val="000000"/>
          <w:sz w:val="28"/>
          <w:szCs w:val="28"/>
        </w:rPr>
      </w:pPr>
    </w:p>
    <w:p w:rsidR="00ED4A1B" w:rsidRPr="00FD69C6" w:rsidRDefault="00ED4A1B" w:rsidP="00ED4A1B">
      <w:pPr>
        <w:spacing w:line="360" w:lineRule="auto"/>
        <w:jc w:val="both"/>
        <w:rPr>
          <w:b/>
          <w:i/>
          <w:sz w:val="24"/>
          <w:szCs w:val="24"/>
          <w:vertAlign w:val="superscript"/>
        </w:rPr>
      </w:pPr>
      <w:r w:rsidRPr="00FD69C6">
        <w:rPr>
          <w:b/>
          <w:bCs/>
          <w:i/>
          <w:sz w:val="24"/>
          <w:szCs w:val="24"/>
        </w:rPr>
        <w:t>Shouhartha Choudhury</w:t>
      </w:r>
      <w:r w:rsidRPr="00FD69C6">
        <w:rPr>
          <w:b/>
          <w:bCs/>
          <w:i/>
          <w:sz w:val="24"/>
          <w:szCs w:val="24"/>
          <w:vertAlign w:val="superscript"/>
        </w:rPr>
        <w:t>1</w:t>
      </w:r>
      <w:r w:rsidRPr="00FD69C6">
        <w:rPr>
          <w:b/>
          <w:i/>
          <w:sz w:val="24"/>
          <w:szCs w:val="24"/>
        </w:rPr>
        <w:t xml:space="preserve"> </w:t>
      </w:r>
      <w:r w:rsidRPr="00FD69C6">
        <w:rPr>
          <w:b/>
          <w:i/>
          <w:color w:val="000000"/>
          <w:sz w:val="24"/>
          <w:szCs w:val="24"/>
        </w:rPr>
        <w:t>Prosenjit Paul</w:t>
      </w:r>
      <w:r w:rsidRPr="00FD69C6">
        <w:rPr>
          <w:b/>
          <w:i/>
          <w:color w:val="000000"/>
          <w:sz w:val="24"/>
          <w:szCs w:val="24"/>
          <w:vertAlign w:val="superscript"/>
        </w:rPr>
        <w:t xml:space="preserve">2 </w:t>
      </w:r>
      <w:r w:rsidRPr="00FD69C6">
        <w:rPr>
          <w:b/>
          <w:i/>
          <w:sz w:val="24"/>
          <w:szCs w:val="24"/>
        </w:rPr>
        <w:t>and, Supriyo Chakraborty</w:t>
      </w:r>
      <w:r w:rsidRPr="00FD69C6">
        <w:rPr>
          <w:b/>
          <w:i/>
          <w:sz w:val="24"/>
          <w:szCs w:val="24"/>
          <w:vertAlign w:val="superscript"/>
        </w:rPr>
        <w:t>3</w:t>
      </w:r>
      <w:r>
        <w:rPr>
          <w:b/>
          <w:i/>
          <w:sz w:val="24"/>
          <w:szCs w:val="24"/>
          <w:vertAlign w:val="superscript"/>
        </w:rPr>
        <w:t>*</w:t>
      </w:r>
    </w:p>
    <w:p w:rsidR="003C0794" w:rsidRPr="00857E28" w:rsidRDefault="003C0794" w:rsidP="003C0794">
      <w:pPr>
        <w:shd w:val="clear" w:color="auto" w:fill="FFFFFF"/>
        <w:jc w:val="both"/>
        <w:rPr>
          <w:sz w:val="24"/>
          <w:szCs w:val="24"/>
          <w:lang w:val="en-IN" w:eastAsia="en-IN"/>
        </w:rPr>
      </w:pPr>
      <w:r w:rsidRPr="00857E28">
        <w:rPr>
          <w:sz w:val="24"/>
          <w:szCs w:val="24"/>
          <w:vertAlign w:val="superscript"/>
          <w:lang w:val="en-IN" w:eastAsia="en-IN"/>
        </w:rPr>
        <w:t>1</w:t>
      </w:r>
      <w:bookmarkStart w:id="0" w:name="a1"/>
      <w:bookmarkEnd w:id="0"/>
      <w:r w:rsidRPr="00857E28">
        <w:rPr>
          <w:sz w:val="24"/>
          <w:szCs w:val="24"/>
          <w:lang w:val="en-IN" w:eastAsia="en-IN"/>
        </w:rPr>
        <w:t xml:space="preserve">Department of </w:t>
      </w:r>
      <w:r w:rsidR="00ED4A1B" w:rsidRPr="00857E28">
        <w:rPr>
          <w:sz w:val="24"/>
          <w:szCs w:val="24"/>
          <w:lang w:val="en-IN" w:eastAsia="en-IN"/>
        </w:rPr>
        <w:t>Biotechnology, Assam University, Silchar-788011</w:t>
      </w:r>
    </w:p>
    <w:p w:rsidR="003C0794" w:rsidRPr="00857E28" w:rsidRDefault="003C0794" w:rsidP="003C0794">
      <w:pPr>
        <w:shd w:val="clear" w:color="auto" w:fill="FFFFFF"/>
        <w:jc w:val="both"/>
        <w:rPr>
          <w:sz w:val="24"/>
          <w:szCs w:val="24"/>
          <w:lang w:val="en-IN" w:eastAsia="en-IN"/>
        </w:rPr>
      </w:pPr>
      <w:r w:rsidRPr="00857E28">
        <w:rPr>
          <w:sz w:val="24"/>
          <w:szCs w:val="24"/>
          <w:vertAlign w:val="superscript"/>
          <w:lang w:val="en-IN" w:eastAsia="en-IN"/>
        </w:rPr>
        <w:t>2</w:t>
      </w:r>
      <w:bookmarkStart w:id="1" w:name="a2"/>
      <w:bookmarkEnd w:id="1"/>
      <w:r w:rsidR="00ED4A1B" w:rsidRPr="00857E28">
        <w:rPr>
          <w:sz w:val="24"/>
          <w:szCs w:val="24"/>
          <w:lang w:val="en-IN" w:eastAsia="en-IN"/>
        </w:rPr>
        <w:t>School of Life Sciences, Assam University, Silchar-788011</w:t>
      </w:r>
    </w:p>
    <w:p w:rsidR="008A55B5" w:rsidRPr="00857E28" w:rsidRDefault="008A55B5">
      <w:pPr>
        <w:rPr>
          <w:rFonts w:eastAsia="MS Mincho"/>
          <w:sz w:val="24"/>
          <w:szCs w:val="24"/>
        </w:rPr>
      </w:pPr>
    </w:p>
    <w:p w:rsidR="00861508" w:rsidRPr="0005164C" w:rsidRDefault="00861508">
      <w:pPr>
        <w:rPr>
          <w:rFonts w:eastAsia="MS Mincho"/>
          <w:sz w:val="19"/>
          <w:szCs w:val="19"/>
        </w:rPr>
      </w:pPr>
    </w:p>
    <w:p w:rsidR="00812538" w:rsidRDefault="00812538" w:rsidP="00812538">
      <w:pPr>
        <w:jc w:val="both"/>
        <w:rPr>
          <w:rFonts w:eastAsia="MS Mincho"/>
          <w:sz w:val="19"/>
          <w:szCs w:val="19"/>
        </w:rPr>
      </w:pPr>
    </w:p>
    <w:p w:rsidR="00351E9B" w:rsidRPr="0005164C" w:rsidRDefault="00351E9B" w:rsidP="00812538">
      <w:pPr>
        <w:jc w:val="both"/>
        <w:rPr>
          <w:rFonts w:eastAsia="MS Mincho"/>
          <w:sz w:val="19"/>
          <w:szCs w:val="19"/>
        </w:rPr>
        <w:sectPr w:rsidR="00351E9B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3C0794" w:rsidRPr="00ED4A1B" w:rsidRDefault="009D49B8" w:rsidP="003C0794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lastRenderedPageBreak/>
        <w:t xml:space="preserve">Keywords: </w:t>
      </w:r>
      <w:r w:rsidR="00ED4A1B" w:rsidRPr="00B80FE0">
        <w:rPr>
          <w:bCs w:val="0"/>
          <w:iCs w:val="0"/>
          <w:noProof w:val="0"/>
          <w:sz w:val="19"/>
          <w:szCs w:val="19"/>
          <w:lang w:val="en-IN" w:eastAsia="en-IN"/>
        </w:rPr>
        <w:t>Type 2 diabetes, NEUROD1, NEUROD Family</w:t>
      </w:r>
      <w:r w:rsidRPr="00B80FE0">
        <w:rPr>
          <w:bCs w:val="0"/>
          <w:iCs w:val="0"/>
          <w:noProof w:val="0"/>
          <w:sz w:val="19"/>
          <w:szCs w:val="19"/>
          <w:lang w:val="en-IN" w:eastAsia="en-IN"/>
        </w:rPr>
        <w:t>,</w:t>
      </w:r>
      <w:r w:rsidR="00ED4A1B" w:rsidRPr="00B80FE0">
        <w:rPr>
          <w:bCs w:val="0"/>
          <w:iCs w:val="0"/>
          <w:noProof w:val="0"/>
          <w:sz w:val="19"/>
          <w:szCs w:val="19"/>
          <w:lang w:val="en-IN" w:eastAsia="en-IN"/>
        </w:rPr>
        <w:t xml:space="preserve"> bHLH transcription factor</w:t>
      </w:r>
      <w:r w:rsidRPr="00B80FE0">
        <w:rPr>
          <w:bCs w:val="0"/>
          <w:iCs w:val="0"/>
          <w:noProof w:val="0"/>
          <w:sz w:val="19"/>
          <w:szCs w:val="19"/>
          <w:lang w:val="en-IN" w:eastAsia="en-IN"/>
        </w:rPr>
        <w:t>, Gene expression</w:t>
      </w:r>
      <w:r w:rsidR="00ED4A1B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</w:t>
      </w:r>
    </w:p>
    <w:p w:rsidR="008A55B5" w:rsidRPr="0005164C" w:rsidRDefault="003C0794" w:rsidP="004B1918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Abstract </w:t>
      </w:r>
    </w:p>
    <w:p w:rsidR="00ED4A1B" w:rsidRPr="004F1703" w:rsidRDefault="00883A50" w:rsidP="00ED4A1B">
      <w:pPr>
        <w:autoSpaceDE w:val="0"/>
        <w:autoSpaceDN w:val="0"/>
        <w:adjustRightInd w:val="0"/>
        <w:jc w:val="both"/>
        <w:rPr>
          <w:bCs/>
        </w:rPr>
      </w:pPr>
      <w:r w:rsidRPr="00883A50">
        <w:rPr>
          <w:sz w:val="19"/>
          <w:szCs w:val="19"/>
          <w:lang w:val="en-IN" w:eastAsia="en-IN"/>
        </w:rPr>
        <w:t xml:space="preserve">The present study investigated </w:t>
      </w:r>
      <w:r w:rsidR="00ED4A1B" w:rsidRPr="00357D7A">
        <w:rPr>
          <w:bCs/>
          <w:i/>
        </w:rPr>
        <w:t>NeuroD (Beta2</w:t>
      </w:r>
      <w:r w:rsidR="00ED4A1B" w:rsidRPr="00357D7A">
        <w:rPr>
          <w:i/>
        </w:rPr>
        <w:t>)</w:t>
      </w:r>
      <w:r w:rsidR="00ED4A1B" w:rsidRPr="00357D7A">
        <w:rPr>
          <w:bCs/>
        </w:rPr>
        <w:t xml:space="preserve"> family is</w:t>
      </w:r>
      <w:r w:rsidR="00ED4A1B">
        <w:rPr>
          <w:bCs/>
        </w:rPr>
        <w:t xml:space="preserve"> a</w:t>
      </w:r>
      <w:r w:rsidR="00ED4A1B" w:rsidRPr="00357D7A">
        <w:rPr>
          <w:bCs/>
        </w:rPr>
        <w:t xml:space="preserve"> </w:t>
      </w:r>
      <w:r w:rsidR="00ED4A1B" w:rsidRPr="00357D7A">
        <w:rPr>
          <w:bCs/>
          <w:i/>
        </w:rPr>
        <w:t>basic helix-loop-helix</w:t>
      </w:r>
      <w:r w:rsidR="00ED4A1B" w:rsidRPr="00357D7A">
        <w:rPr>
          <w:bCs/>
        </w:rPr>
        <w:t xml:space="preserve"> </w:t>
      </w:r>
      <w:r w:rsidR="00ED4A1B" w:rsidRPr="00074FFD">
        <w:rPr>
          <w:bCs/>
          <w:i/>
        </w:rPr>
        <w:t>transcription factor</w:t>
      </w:r>
      <w:r w:rsidR="00ED4A1B">
        <w:rPr>
          <w:bCs/>
        </w:rPr>
        <w:t xml:space="preserve"> widespread in genome. In </w:t>
      </w:r>
      <w:r w:rsidR="00ED4A1B" w:rsidRPr="00357D7A">
        <w:rPr>
          <w:bCs/>
          <w:i/>
        </w:rPr>
        <w:t>NeuroD</w:t>
      </w:r>
      <w:r w:rsidR="00ED4A1B" w:rsidRPr="00357D7A">
        <w:rPr>
          <w:bCs/>
        </w:rPr>
        <w:t xml:space="preserve"> f</w:t>
      </w:r>
      <w:r w:rsidR="00ED4A1B">
        <w:rPr>
          <w:bCs/>
        </w:rPr>
        <w:t xml:space="preserve">amily particular </w:t>
      </w:r>
      <w:r w:rsidR="0031181B">
        <w:rPr>
          <w:bCs/>
        </w:rPr>
        <w:t>gene expresses</w:t>
      </w:r>
      <w:r w:rsidR="00ED4A1B" w:rsidRPr="00357D7A">
        <w:rPr>
          <w:bCs/>
        </w:rPr>
        <w:t xml:space="preserve"> in neurons, </w:t>
      </w:r>
      <w:r w:rsidR="00ED4A1B">
        <w:t>beta-pancreatic cells</w:t>
      </w:r>
      <w:r w:rsidR="00ED4A1B" w:rsidRPr="00357D7A">
        <w:t xml:space="preserve"> and</w:t>
      </w:r>
      <w:r w:rsidR="00ED4A1B">
        <w:t>,</w:t>
      </w:r>
      <w:r w:rsidR="00ED4A1B" w:rsidRPr="00357D7A">
        <w:t xml:space="preserve"> enteroendocrine </w:t>
      </w:r>
      <w:r w:rsidR="0031181B">
        <w:t>cells. It i</w:t>
      </w:r>
      <w:r w:rsidR="00ED4A1B">
        <w:t>s</w:t>
      </w:r>
      <w:r w:rsidR="00ED4A1B" w:rsidRPr="00357D7A">
        <w:t xml:space="preserve"> involved</w:t>
      </w:r>
      <w:r w:rsidR="00ED4A1B">
        <w:t xml:space="preserve"> </w:t>
      </w:r>
      <w:r w:rsidR="00ED4A1B" w:rsidRPr="00357D7A">
        <w:t>differentiation of</w:t>
      </w:r>
      <w:r w:rsidR="00ED4A1B">
        <w:t xml:space="preserve"> </w:t>
      </w:r>
      <w:r w:rsidR="00ED4A1B" w:rsidRPr="00357D7A">
        <w:t>nervous system and development of pancreas.</w:t>
      </w:r>
      <w:r w:rsidR="00D11F7D">
        <w:rPr>
          <w:bCs/>
        </w:rPr>
        <w:t xml:space="preserve"> </w:t>
      </w:r>
      <w:r w:rsidR="003A3DA3">
        <w:rPr>
          <w:bCs/>
        </w:rPr>
        <w:t xml:space="preserve">The </w:t>
      </w:r>
      <w:r w:rsidR="00ED4A1B">
        <w:rPr>
          <w:i/>
        </w:rPr>
        <w:t>NEURO</w:t>
      </w:r>
      <w:r w:rsidR="00ED4A1B" w:rsidRPr="00357D7A">
        <w:rPr>
          <w:i/>
        </w:rPr>
        <w:t>D1</w:t>
      </w:r>
      <w:r w:rsidR="00ED4A1B">
        <w:rPr>
          <w:bCs/>
        </w:rPr>
        <w:t xml:space="preserve"> </w:t>
      </w:r>
      <w:r w:rsidR="00ED4A1B" w:rsidRPr="00357D7A">
        <w:rPr>
          <w:bCs/>
          <w:i/>
        </w:rPr>
        <w:t>(Neurogenic differentiation 1)</w:t>
      </w:r>
      <w:r w:rsidR="00ED4A1B">
        <w:rPr>
          <w:bCs/>
          <w:i/>
        </w:rPr>
        <w:t xml:space="preserve"> </w:t>
      </w:r>
      <w:r w:rsidR="00ED4A1B" w:rsidRPr="00357D7A">
        <w:t>found to</w:t>
      </w:r>
      <w:r w:rsidR="00ED4A1B">
        <w:t xml:space="preserve"> </w:t>
      </w:r>
      <w:r w:rsidR="00ED4A1B" w:rsidRPr="00357D7A">
        <w:t>convert reactive glial cells into functional neurons in</w:t>
      </w:r>
      <w:r w:rsidR="00ED4A1B">
        <w:t xml:space="preserve"> </w:t>
      </w:r>
      <w:r w:rsidR="0031181B" w:rsidRPr="00357D7A">
        <w:t>brain.</w:t>
      </w:r>
      <w:r w:rsidR="0031181B">
        <w:t xml:space="preserve"> </w:t>
      </w:r>
      <w:r w:rsidR="00ED4A1B">
        <w:rPr>
          <w:bCs/>
          <w:i/>
        </w:rPr>
        <w:t>NEURO</w:t>
      </w:r>
      <w:r w:rsidR="00ED4A1B" w:rsidRPr="00357D7A">
        <w:rPr>
          <w:bCs/>
          <w:i/>
        </w:rPr>
        <w:t>D1</w:t>
      </w:r>
      <w:r w:rsidR="00ED4A1B">
        <w:rPr>
          <w:bCs/>
          <w:i/>
        </w:rPr>
        <w:t xml:space="preserve"> </w:t>
      </w:r>
      <w:r w:rsidR="00ED4A1B">
        <w:rPr>
          <w:bCs/>
        </w:rPr>
        <w:t xml:space="preserve">induces </w:t>
      </w:r>
      <w:r w:rsidR="00ED4A1B" w:rsidRPr="00357D7A">
        <w:rPr>
          <w:bCs/>
        </w:rPr>
        <w:t>differentiation of</w:t>
      </w:r>
      <w:r w:rsidR="00ED4A1B">
        <w:rPr>
          <w:bCs/>
        </w:rPr>
        <w:t xml:space="preserve"> </w:t>
      </w:r>
      <w:r w:rsidR="00ED4A1B" w:rsidRPr="00357D7A">
        <w:rPr>
          <w:bCs/>
        </w:rPr>
        <w:t xml:space="preserve">nervous system and regulate insulin gene </w:t>
      </w:r>
      <w:r w:rsidR="00ED4A1B" w:rsidRPr="00357D7A">
        <w:rPr>
          <w:rStyle w:val="mim-text-font"/>
          <w:rFonts w:eastAsia="MS Mincho"/>
        </w:rPr>
        <w:t>expression by binding to</w:t>
      </w:r>
      <w:r w:rsidR="00ED4A1B">
        <w:rPr>
          <w:rStyle w:val="mim-text-font"/>
          <w:rFonts w:eastAsia="MS Mincho"/>
        </w:rPr>
        <w:t xml:space="preserve"> critical</w:t>
      </w:r>
      <w:r w:rsidR="00ED4A1B" w:rsidRPr="00357D7A">
        <w:rPr>
          <w:rStyle w:val="mim-text-font"/>
          <w:rFonts w:eastAsia="MS Mincho"/>
        </w:rPr>
        <w:t xml:space="preserve"> </w:t>
      </w:r>
      <w:r w:rsidR="00ED4A1B" w:rsidRPr="00357D7A">
        <w:rPr>
          <w:rStyle w:val="mim-text-font"/>
          <w:rFonts w:eastAsia="MS Mincho"/>
          <w:i/>
        </w:rPr>
        <w:t>E-box motif</w:t>
      </w:r>
      <w:r w:rsidR="00ED4A1B">
        <w:rPr>
          <w:rStyle w:val="mim-text-font"/>
          <w:rFonts w:eastAsia="MS Mincho"/>
        </w:rPr>
        <w:t xml:space="preserve"> on insulin promoter</w:t>
      </w:r>
      <w:r w:rsidR="00ED4A1B" w:rsidRPr="00357D7A">
        <w:rPr>
          <w:rStyle w:val="mim-text-font"/>
          <w:rFonts w:eastAsia="MS Mincho"/>
        </w:rPr>
        <w:t xml:space="preserve"> </w:t>
      </w:r>
      <w:r w:rsidR="00ED4A1B">
        <w:rPr>
          <w:bCs/>
        </w:rPr>
        <w:t>and mutation</w:t>
      </w:r>
      <w:r w:rsidR="00ED4A1B" w:rsidRPr="00357D7A">
        <w:rPr>
          <w:bCs/>
        </w:rPr>
        <w:t xml:space="preserve"> </w:t>
      </w:r>
      <w:r w:rsidR="00ED4A1B">
        <w:rPr>
          <w:bCs/>
        </w:rPr>
        <w:t>result</w:t>
      </w:r>
      <w:r w:rsidR="00ED4A1B" w:rsidRPr="00357D7A">
        <w:rPr>
          <w:bCs/>
        </w:rPr>
        <w:t xml:space="preserve"> type 2 diabetes melli</w:t>
      </w:r>
      <w:r w:rsidR="00ED4A1B">
        <w:rPr>
          <w:bCs/>
        </w:rPr>
        <w:t>tus.</w:t>
      </w:r>
      <w:r w:rsidR="00D11F7D">
        <w:rPr>
          <w:bCs/>
        </w:rPr>
        <w:t xml:space="preserve"> </w:t>
      </w:r>
      <w:r w:rsidR="00ED4A1B">
        <w:rPr>
          <w:bCs/>
        </w:rPr>
        <w:t xml:space="preserve">It is </w:t>
      </w:r>
      <w:r w:rsidR="00D11F7D">
        <w:rPr>
          <w:bCs/>
        </w:rPr>
        <w:t>logically assumed</w:t>
      </w:r>
      <w:r w:rsidR="00437646">
        <w:rPr>
          <w:bCs/>
        </w:rPr>
        <w:t>,</w:t>
      </w:r>
      <w:r w:rsidR="00D11F7D">
        <w:rPr>
          <w:bCs/>
        </w:rPr>
        <w:t xml:space="preserve"> </w:t>
      </w:r>
      <w:r w:rsidR="00ED4A1B">
        <w:rPr>
          <w:bCs/>
          <w:i/>
        </w:rPr>
        <w:t>NUERO</w:t>
      </w:r>
      <w:r w:rsidR="00ED4A1B" w:rsidRPr="00357D7A">
        <w:rPr>
          <w:bCs/>
          <w:i/>
        </w:rPr>
        <w:t>D1</w:t>
      </w:r>
      <w:r w:rsidR="00ED4A1B">
        <w:rPr>
          <w:bCs/>
        </w:rPr>
        <w:t xml:space="preserve"> regulate</w:t>
      </w:r>
      <w:r w:rsidR="00ED4A1B" w:rsidRPr="00357D7A">
        <w:rPr>
          <w:bCs/>
        </w:rPr>
        <w:t xml:space="preserve"> insulin and found to</w:t>
      </w:r>
      <w:r w:rsidR="00ED4A1B">
        <w:rPr>
          <w:bCs/>
        </w:rPr>
        <w:t xml:space="preserve"> </w:t>
      </w:r>
      <w:r w:rsidR="00ED4A1B" w:rsidRPr="00357D7A">
        <w:t>Chromosome 2</w:t>
      </w:r>
      <w:r w:rsidR="00ED4A1B">
        <w:t xml:space="preserve"> </w:t>
      </w:r>
      <w:r w:rsidR="003A3DA3">
        <w:t>of human</w:t>
      </w:r>
      <w:r w:rsidR="00ED4A1B" w:rsidRPr="00357D7A">
        <w:rPr>
          <w:bCs/>
        </w:rPr>
        <w:t xml:space="preserve">. </w:t>
      </w:r>
      <w:r w:rsidR="003A3DA3" w:rsidRPr="008B29B6">
        <w:rPr>
          <w:color w:val="000000"/>
        </w:rPr>
        <w:t xml:space="preserve">The genomic complement of </w:t>
      </w:r>
      <w:r w:rsidR="003A3DA3" w:rsidRPr="003A3DA3">
        <w:rPr>
          <w:i/>
          <w:color w:val="000000"/>
        </w:rPr>
        <w:t>NeuroD family</w:t>
      </w:r>
      <w:r w:rsidR="003A3DA3">
        <w:rPr>
          <w:color w:val="000000"/>
        </w:rPr>
        <w:t xml:space="preserve"> of </w:t>
      </w:r>
      <w:r w:rsidR="003A3DA3" w:rsidRPr="008B29B6">
        <w:rPr>
          <w:i/>
          <w:color w:val="000000"/>
        </w:rPr>
        <w:t>bHLH</w:t>
      </w:r>
      <w:r w:rsidR="003A3DA3" w:rsidRPr="008B29B6">
        <w:rPr>
          <w:color w:val="000000"/>
        </w:rPr>
        <w:t xml:space="preserve"> </w:t>
      </w:r>
      <w:r w:rsidR="003A3DA3" w:rsidRPr="008B29B6">
        <w:rPr>
          <w:i/>
          <w:color w:val="000000"/>
        </w:rPr>
        <w:t>transcription factor</w:t>
      </w:r>
      <w:r w:rsidR="003A3DA3" w:rsidRPr="008B29B6">
        <w:rPr>
          <w:color w:val="000000"/>
        </w:rPr>
        <w:t xml:space="preserve"> is an essential component for identification of the specific gene</w:t>
      </w:r>
      <w:r w:rsidR="003A3DA3">
        <w:rPr>
          <w:color w:val="000000"/>
        </w:rPr>
        <w:t>.</w:t>
      </w:r>
      <w:r w:rsidR="003A3DA3">
        <w:rPr>
          <w:bCs/>
        </w:rPr>
        <w:t xml:space="preserve"> </w:t>
      </w:r>
      <w:r w:rsidR="00ED4A1B" w:rsidRPr="00357D7A">
        <w:rPr>
          <w:bCs/>
        </w:rPr>
        <w:t xml:space="preserve">We </w:t>
      </w:r>
      <w:r w:rsidR="00ED4A1B">
        <w:rPr>
          <w:bCs/>
        </w:rPr>
        <w:t>accumulate</w:t>
      </w:r>
      <w:r w:rsidR="00ED4A1B" w:rsidRPr="00357D7A">
        <w:rPr>
          <w:bCs/>
        </w:rPr>
        <w:t xml:space="preserve"> </w:t>
      </w:r>
      <w:r w:rsidR="00ED4A1B">
        <w:rPr>
          <w:bCs/>
        </w:rPr>
        <w:t>eukaryotes</w:t>
      </w:r>
      <w:r w:rsidR="00ED4A1B" w:rsidRPr="00357D7A">
        <w:rPr>
          <w:bCs/>
        </w:rPr>
        <w:t xml:space="preserve"> </w:t>
      </w:r>
      <w:r w:rsidR="00ED4A1B">
        <w:rPr>
          <w:bCs/>
        </w:rPr>
        <w:t xml:space="preserve">genome </w:t>
      </w:r>
      <w:r w:rsidR="00ED4A1B" w:rsidRPr="00074FFD">
        <w:rPr>
          <w:bCs/>
          <w:i/>
        </w:rPr>
        <w:t>i.e</w:t>
      </w:r>
      <w:r w:rsidR="00ED4A1B">
        <w:rPr>
          <w:bCs/>
        </w:rPr>
        <w:t>.</w:t>
      </w:r>
      <w:r w:rsidR="00ED4A1B" w:rsidRPr="00357D7A">
        <w:rPr>
          <w:bCs/>
        </w:rPr>
        <w:t xml:space="preserve"> </w:t>
      </w:r>
      <w:r w:rsidR="00ED4A1B">
        <w:rPr>
          <w:bCs/>
          <w:i/>
        </w:rPr>
        <w:t>Homo sapiens</w:t>
      </w:r>
      <w:r w:rsidR="00ED4A1B" w:rsidRPr="00357D7A">
        <w:rPr>
          <w:bCs/>
          <w:i/>
        </w:rPr>
        <w:t xml:space="preserve"> </w:t>
      </w:r>
      <w:r w:rsidR="00ED4A1B" w:rsidRPr="00357D7A">
        <w:rPr>
          <w:bCs/>
        </w:rPr>
        <w:t xml:space="preserve">and </w:t>
      </w:r>
      <w:r w:rsidR="00ED4A1B" w:rsidRPr="00817E43">
        <w:rPr>
          <w:bCs/>
          <w:i/>
        </w:rPr>
        <w:t xml:space="preserve">Mus musculus </w:t>
      </w:r>
      <w:r w:rsidR="00ED4A1B">
        <w:rPr>
          <w:bCs/>
        </w:rPr>
        <w:t xml:space="preserve">for </w:t>
      </w:r>
      <w:r w:rsidR="00ED4A1B" w:rsidRPr="00357D7A">
        <w:rPr>
          <w:bCs/>
        </w:rPr>
        <w:t xml:space="preserve">comparative and functional analysis. The </w:t>
      </w:r>
      <w:r w:rsidR="00ED4A1B">
        <w:rPr>
          <w:bCs/>
        </w:rPr>
        <w:t>genome-wide analysis</w:t>
      </w:r>
      <w:r w:rsidR="00437646">
        <w:rPr>
          <w:bCs/>
        </w:rPr>
        <w:t xml:space="preserve"> results</w:t>
      </w:r>
      <w:r w:rsidR="00ED4A1B">
        <w:rPr>
          <w:bCs/>
        </w:rPr>
        <w:t xml:space="preserve"> </w:t>
      </w:r>
      <w:r w:rsidR="00ED4A1B" w:rsidRPr="00357D7A">
        <w:rPr>
          <w:bCs/>
        </w:rPr>
        <w:t>suggested</w:t>
      </w:r>
      <w:r w:rsidR="00ED4A1B">
        <w:rPr>
          <w:bCs/>
        </w:rPr>
        <w:t xml:space="preserve"> </w:t>
      </w:r>
      <w:r w:rsidR="00ED4A1B" w:rsidRPr="004356CE">
        <w:rPr>
          <w:bCs/>
          <w:i/>
        </w:rPr>
        <w:t>NeuroD</w:t>
      </w:r>
      <w:r w:rsidR="00ED4A1B">
        <w:rPr>
          <w:bCs/>
          <w:i/>
        </w:rPr>
        <w:t xml:space="preserve"> family</w:t>
      </w:r>
      <w:r w:rsidR="00ED4A1B">
        <w:rPr>
          <w:bCs/>
        </w:rPr>
        <w:t xml:space="preserve"> and their </w:t>
      </w:r>
      <w:r w:rsidR="00ED4A1B">
        <w:rPr>
          <w:bCs/>
          <w:i/>
        </w:rPr>
        <w:t>bHLH</w:t>
      </w:r>
      <w:r w:rsidR="00ED4A1B" w:rsidRPr="00357D7A">
        <w:rPr>
          <w:bCs/>
          <w:i/>
        </w:rPr>
        <w:t xml:space="preserve"> domain</w:t>
      </w:r>
      <w:r w:rsidR="00ED4A1B" w:rsidRPr="00357D7A">
        <w:rPr>
          <w:bCs/>
        </w:rPr>
        <w:t xml:space="preserve">, </w:t>
      </w:r>
      <w:r w:rsidR="00ED4A1B" w:rsidRPr="00357D7A">
        <w:rPr>
          <w:bCs/>
          <w:i/>
        </w:rPr>
        <w:t>motifs,</w:t>
      </w:r>
      <w:r w:rsidR="00ED4A1B" w:rsidRPr="00357D7A">
        <w:rPr>
          <w:bCs/>
        </w:rPr>
        <w:t xml:space="preserve"> </w:t>
      </w:r>
      <w:r w:rsidR="00ED4A1B" w:rsidRPr="00357D7A">
        <w:rPr>
          <w:bCs/>
          <w:i/>
        </w:rPr>
        <w:t xml:space="preserve">phylogeny, </w:t>
      </w:r>
      <w:r w:rsidR="00ED4A1B">
        <w:rPr>
          <w:bCs/>
          <w:i/>
        </w:rPr>
        <w:t xml:space="preserve">chromosome location </w:t>
      </w:r>
      <w:r w:rsidR="00ED4A1B" w:rsidRPr="00357D7A">
        <w:rPr>
          <w:bCs/>
        </w:rPr>
        <w:t>and</w:t>
      </w:r>
      <w:r w:rsidR="00ED4A1B">
        <w:rPr>
          <w:bCs/>
        </w:rPr>
        <w:t>,</w:t>
      </w:r>
      <w:r w:rsidR="00ED4A1B" w:rsidRPr="00357D7A">
        <w:rPr>
          <w:bCs/>
          <w:i/>
        </w:rPr>
        <w:t xml:space="preserve"> </w:t>
      </w:r>
      <w:r w:rsidR="00D11F7D">
        <w:rPr>
          <w:bCs/>
          <w:i/>
        </w:rPr>
        <w:t xml:space="preserve">gene </w:t>
      </w:r>
      <w:r w:rsidR="00ED4A1B" w:rsidRPr="00357D7A">
        <w:rPr>
          <w:bCs/>
          <w:i/>
        </w:rPr>
        <w:t>expression</w:t>
      </w:r>
      <w:r w:rsidR="00ED4A1B" w:rsidRPr="00357D7A">
        <w:rPr>
          <w:bCs/>
        </w:rPr>
        <w:t>. In th</w:t>
      </w:r>
      <w:r w:rsidR="00ED4A1B">
        <w:rPr>
          <w:bCs/>
        </w:rPr>
        <w:t>is study, we performed</w:t>
      </w:r>
      <w:r w:rsidR="00ED4A1B" w:rsidRPr="00357D7A">
        <w:rPr>
          <w:bCs/>
        </w:rPr>
        <w:t xml:space="preserve"> bioinformatics and computational technique to</w:t>
      </w:r>
      <w:r w:rsidR="00ED4A1B">
        <w:rPr>
          <w:bCs/>
        </w:rPr>
        <w:t xml:space="preserve"> the </w:t>
      </w:r>
      <w:r w:rsidR="00ED4A1B" w:rsidRPr="00357D7A">
        <w:rPr>
          <w:bCs/>
        </w:rPr>
        <w:t xml:space="preserve">current knowledge of </w:t>
      </w:r>
      <w:r w:rsidR="00ED4A1B" w:rsidRPr="00357D7A">
        <w:rPr>
          <w:bCs/>
          <w:i/>
        </w:rPr>
        <w:t>NeuroD</w:t>
      </w:r>
      <w:r w:rsidR="00ED4A1B" w:rsidRPr="00357D7A">
        <w:rPr>
          <w:bCs/>
        </w:rPr>
        <w:t xml:space="preserve"> </w:t>
      </w:r>
      <w:r w:rsidR="00ED4A1B" w:rsidRPr="004356CE">
        <w:rPr>
          <w:bCs/>
          <w:i/>
        </w:rPr>
        <w:t>family</w:t>
      </w:r>
      <w:r w:rsidR="00ED4A1B" w:rsidRPr="00357D7A">
        <w:rPr>
          <w:bCs/>
        </w:rPr>
        <w:t xml:space="preserve"> of </w:t>
      </w:r>
      <w:r w:rsidR="00ED4A1B" w:rsidRPr="00357D7A">
        <w:rPr>
          <w:bCs/>
          <w:i/>
        </w:rPr>
        <w:t>bHLH</w:t>
      </w:r>
      <w:r w:rsidR="00ED4A1B" w:rsidRPr="00357D7A">
        <w:rPr>
          <w:bCs/>
        </w:rPr>
        <w:t xml:space="preserve"> </w:t>
      </w:r>
      <w:r w:rsidR="00ED4A1B" w:rsidRPr="003E117B">
        <w:rPr>
          <w:bCs/>
          <w:i/>
        </w:rPr>
        <w:t>transcription factor</w:t>
      </w:r>
      <w:r w:rsidR="003A3DA3">
        <w:rPr>
          <w:bCs/>
        </w:rPr>
        <w:t>.</w:t>
      </w:r>
    </w:p>
    <w:p w:rsidR="00861508" w:rsidRDefault="00861508" w:rsidP="00D11F7D">
      <w:pPr>
        <w:jc w:val="both"/>
        <w:rPr>
          <w:sz w:val="19"/>
          <w:szCs w:val="19"/>
          <w:lang w:val="en-IN" w:eastAsia="en-IN"/>
        </w:rPr>
      </w:pPr>
    </w:p>
    <w:p w:rsidR="00D11F7D" w:rsidRPr="0005164C" w:rsidRDefault="00D11F7D" w:rsidP="00D11F7D">
      <w:pPr>
        <w:jc w:val="both"/>
        <w:rPr>
          <w:b/>
          <w:sz w:val="19"/>
          <w:szCs w:val="19"/>
        </w:rPr>
      </w:pPr>
    </w:p>
    <w:p w:rsidR="00861508" w:rsidRPr="0005164C" w:rsidRDefault="00861508" w:rsidP="00861508">
      <w:pPr>
        <w:rPr>
          <w:sz w:val="19"/>
          <w:szCs w:val="19"/>
        </w:rPr>
      </w:pPr>
    </w:p>
    <w:p w:rsidR="003C0794" w:rsidRPr="0005164C" w:rsidRDefault="00D11F7D" w:rsidP="003C0794">
      <w:pPr>
        <w:pStyle w:val="BodyText"/>
        <w:ind w:firstLine="0"/>
        <w:rPr>
          <w:sz w:val="19"/>
          <w:szCs w:val="19"/>
        </w:rPr>
      </w:pPr>
      <w:r>
        <w:rPr>
          <w:noProof/>
          <w:sz w:val="19"/>
          <w:szCs w:val="19"/>
          <w:lang w:val="en-IN" w:eastAsia="en-IN"/>
        </w:rPr>
        <w:drawing>
          <wp:inline distT="0" distB="0" distL="0" distR="0">
            <wp:extent cx="2638425" cy="2200275"/>
            <wp:effectExtent l="0" t="0" r="9525" b="0"/>
            <wp:docPr id="1" name="Picture 3" descr="C:\Users\dell\Desktop\800px-Main_symptoms_of_diabetes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ll\Desktop\800px-Main_symptoms_of_diabetes.svg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20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2D45" w:rsidRDefault="00BB2D45" w:rsidP="004B1918">
      <w:pPr>
        <w:pStyle w:val="BodyText"/>
        <w:ind w:firstLine="0"/>
        <w:jc w:val="left"/>
        <w:rPr>
          <w:b/>
          <w:sz w:val="19"/>
          <w:szCs w:val="19"/>
        </w:rPr>
      </w:pPr>
    </w:p>
    <w:p w:rsidR="003C0794" w:rsidRPr="0005164C" w:rsidRDefault="00466E41" w:rsidP="004B1918">
      <w:pPr>
        <w:pStyle w:val="BodyText"/>
        <w:ind w:firstLine="0"/>
        <w:jc w:val="left"/>
        <w:rPr>
          <w:b/>
          <w:sz w:val="19"/>
          <w:szCs w:val="19"/>
        </w:rPr>
      </w:pPr>
      <w:r>
        <w:rPr>
          <w:b/>
          <w:sz w:val="19"/>
          <w:szCs w:val="19"/>
        </w:rPr>
        <w:lastRenderedPageBreak/>
        <w:t>Reference</w:t>
      </w:r>
    </w:p>
    <w:p w:rsidR="00F84624" w:rsidRDefault="00F84624" w:rsidP="00F84624">
      <w:pPr>
        <w:pStyle w:val="EndNoteBibliography"/>
        <w:numPr>
          <w:ilvl w:val="0"/>
          <w:numId w:val="26"/>
        </w:numPr>
        <w:spacing w:after="0"/>
        <w:rPr>
          <w:rFonts w:ascii="Times New Roman" w:hAnsi="Times New Roman"/>
          <w:sz w:val="20"/>
          <w:szCs w:val="20"/>
        </w:rPr>
      </w:pPr>
      <w:bookmarkStart w:id="2" w:name="2"/>
      <w:bookmarkEnd w:id="2"/>
      <w:r w:rsidRPr="002F4829">
        <w:rPr>
          <w:rFonts w:ascii="Times New Roman" w:hAnsi="Times New Roman"/>
          <w:sz w:val="20"/>
          <w:szCs w:val="20"/>
        </w:rPr>
        <w:t xml:space="preserve">Latchman, D.S., </w:t>
      </w:r>
      <w:r w:rsidRPr="002F4829">
        <w:rPr>
          <w:rFonts w:ascii="Times New Roman" w:hAnsi="Times New Roman"/>
          <w:i/>
          <w:sz w:val="20"/>
          <w:szCs w:val="20"/>
        </w:rPr>
        <w:t>Transcription factors: an overview.</w:t>
      </w:r>
      <w:r w:rsidRPr="002F4829">
        <w:rPr>
          <w:rFonts w:ascii="Times New Roman" w:hAnsi="Times New Roman"/>
          <w:sz w:val="20"/>
          <w:szCs w:val="20"/>
        </w:rPr>
        <w:t xml:space="preserve"> </w:t>
      </w:r>
      <w:r w:rsidRPr="002F4829">
        <w:rPr>
          <w:rFonts w:ascii="Times New Roman" w:hAnsi="Times New Roman"/>
          <w:i/>
          <w:sz w:val="20"/>
          <w:szCs w:val="20"/>
        </w:rPr>
        <w:t>The international journal of biochemistry &amp; cell biology</w:t>
      </w:r>
      <w:r w:rsidRPr="002F4829">
        <w:rPr>
          <w:rFonts w:ascii="Times New Roman" w:hAnsi="Times New Roman"/>
          <w:sz w:val="20"/>
          <w:szCs w:val="20"/>
        </w:rPr>
        <w:t xml:space="preserve">, 1997. </w:t>
      </w:r>
      <w:r w:rsidRPr="002F4829">
        <w:rPr>
          <w:rFonts w:ascii="Times New Roman" w:hAnsi="Times New Roman"/>
          <w:b/>
          <w:sz w:val="20"/>
          <w:szCs w:val="20"/>
        </w:rPr>
        <w:t>29</w:t>
      </w:r>
      <w:r w:rsidRPr="002F4829">
        <w:rPr>
          <w:rFonts w:ascii="Times New Roman" w:hAnsi="Times New Roman"/>
          <w:sz w:val="20"/>
          <w:szCs w:val="20"/>
        </w:rPr>
        <w:t>(12): p. 1305-1312.</w:t>
      </w:r>
    </w:p>
    <w:p w:rsidR="0031181B" w:rsidRPr="002F4829" w:rsidRDefault="0031181B" w:rsidP="0031181B">
      <w:pPr>
        <w:pStyle w:val="EndNoteBibliography"/>
        <w:spacing w:after="0"/>
        <w:ind w:left="720"/>
        <w:rPr>
          <w:rFonts w:ascii="Times New Roman" w:hAnsi="Times New Roman"/>
          <w:sz w:val="20"/>
          <w:szCs w:val="20"/>
        </w:rPr>
      </w:pPr>
    </w:p>
    <w:p w:rsidR="004B1918" w:rsidRDefault="004B1918" w:rsidP="004B1918">
      <w:pPr>
        <w:pStyle w:val="EndNoteBibliography"/>
        <w:numPr>
          <w:ilvl w:val="0"/>
          <w:numId w:val="26"/>
        </w:numPr>
        <w:spacing w:after="0"/>
        <w:rPr>
          <w:rFonts w:ascii="Times New Roman" w:hAnsi="Times New Roman"/>
          <w:sz w:val="20"/>
          <w:szCs w:val="20"/>
        </w:rPr>
      </w:pPr>
      <w:r w:rsidRPr="002F4829">
        <w:rPr>
          <w:rFonts w:ascii="Times New Roman" w:hAnsi="Times New Roman"/>
          <w:sz w:val="20"/>
          <w:szCs w:val="20"/>
        </w:rPr>
        <w:t xml:space="preserve">Malecki, M.T., et al., </w:t>
      </w:r>
      <w:r w:rsidRPr="002F4829">
        <w:rPr>
          <w:rFonts w:ascii="Times New Roman" w:hAnsi="Times New Roman"/>
          <w:i/>
          <w:sz w:val="20"/>
          <w:szCs w:val="20"/>
        </w:rPr>
        <w:t>Mutations in NEUROD1 are associated with the development of type 2 diabetes mellitus.</w:t>
      </w:r>
      <w:r w:rsidRPr="002F4829">
        <w:rPr>
          <w:rFonts w:ascii="Times New Roman" w:hAnsi="Times New Roman"/>
          <w:sz w:val="20"/>
          <w:szCs w:val="20"/>
        </w:rPr>
        <w:t xml:space="preserve"> Nature genetics, 1999. </w:t>
      </w:r>
      <w:r w:rsidRPr="002F4829">
        <w:rPr>
          <w:rFonts w:ascii="Times New Roman" w:hAnsi="Times New Roman"/>
          <w:b/>
          <w:sz w:val="20"/>
          <w:szCs w:val="20"/>
        </w:rPr>
        <w:t>23</w:t>
      </w:r>
      <w:r w:rsidRPr="002F4829">
        <w:rPr>
          <w:rFonts w:ascii="Times New Roman" w:hAnsi="Times New Roman"/>
          <w:sz w:val="20"/>
          <w:szCs w:val="20"/>
        </w:rPr>
        <w:t>(3): p. 323.</w:t>
      </w:r>
    </w:p>
    <w:p w:rsidR="0031181B" w:rsidRPr="002F4829" w:rsidRDefault="0031181B" w:rsidP="0031181B">
      <w:pPr>
        <w:pStyle w:val="EndNoteBibliography"/>
        <w:spacing w:after="0"/>
        <w:rPr>
          <w:rFonts w:ascii="Times New Roman" w:hAnsi="Times New Roman"/>
          <w:sz w:val="20"/>
          <w:szCs w:val="20"/>
        </w:rPr>
      </w:pPr>
    </w:p>
    <w:p w:rsidR="004B1918" w:rsidRPr="00E75C62" w:rsidRDefault="004B1918" w:rsidP="00E75C62">
      <w:pPr>
        <w:pStyle w:val="EndNoteBibliography"/>
        <w:numPr>
          <w:ilvl w:val="0"/>
          <w:numId w:val="26"/>
        </w:numPr>
        <w:spacing w:after="0"/>
        <w:rPr>
          <w:rFonts w:ascii="Times New Roman" w:hAnsi="Times New Roman"/>
          <w:sz w:val="20"/>
          <w:szCs w:val="20"/>
        </w:rPr>
      </w:pPr>
      <w:r w:rsidRPr="002F4829">
        <w:rPr>
          <w:rFonts w:ascii="Times New Roman" w:hAnsi="Times New Roman"/>
          <w:sz w:val="20"/>
          <w:szCs w:val="20"/>
        </w:rPr>
        <w:t xml:space="preserve">Liu, M., et al., </w:t>
      </w:r>
      <w:r w:rsidRPr="002F4829">
        <w:rPr>
          <w:rFonts w:ascii="Times New Roman" w:hAnsi="Times New Roman"/>
          <w:i/>
          <w:sz w:val="20"/>
          <w:szCs w:val="20"/>
        </w:rPr>
        <w:t>Loss of BETA2/NeuroD leads to malformation of the dentate gyrus and epilepsy.</w:t>
      </w:r>
      <w:r w:rsidRPr="002F4829">
        <w:rPr>
          <w:rFonts w:ascii="Times New Roman" w:hAnsi="Times New Roman"/>
          <w:sz w:val="20"/>
          <w:szCs w:val="20"/>
        </w:rPr>
        <w:t xml:space="preserve"> Proceedings of the National Academy of Sciences, 2000. </w:t>
      </w:r>
      <w:r w:rsidRPr="002F4829">
        <w:rPr>
          <w:rFonts w:ascii="Times New Roman" w:hAnsi="Times New Roman"/>
          <w:b/>
          <w:sz w:val="20"/>
          <w:szCs w:val="20"/>
        </w:rPr>
        <w:t>97</w:t>
      </w:r>
      <w:r w:rsidRPr="002F4829">
        <w:rPr>
          <w:rFonts w:ascii="Times New Roman" w:hAnsi="Times New Roman"/>
          <w:sz w:val="20"/>
          <w:szCs w:val="20"/>
        </w:rPr>
        <w:t>(2): p. 865-870.</w:t>
      </w:r>
    </w:p>
    <w:p w:rsidR="00861508" w:rsidRPr="0005164C" w:rsidRDefault="004B1918" w:rsidP="004B1918">
      <w:p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r>
        <w:rPr>
          <w:b/>
          <w:sz w:val="19"/>
          <w:szCs w:val="19"/>
          <w:lang w:val="en-IN" w:eastAsia="en-IN"/>
        </w:rPr>
        <w:t>Biography</w:t>
      </w:r>
    </w:p>
    <w:p w:rsidR="00436D10" w:rsidRDefault="00436D10" w:rsidP="00436D10">
      <w:pPr>
        <w:jc w:val="both"/>
      </w:pPr>
      <w:r w:rsidRPr="006B1BEA">
        <w:t>Shouhartha Choudhury has completed his B.Tech and M.Tech in Bioinformatics from India and now pursuing integrated pre-Ph.D. research in School of Life Sciences, Department of Biotechnology, Assam University, Silchar-788011</w:t>
      </w:r>
    </w:p>
    <w:p w:rsidR="00791E91" w:rsidRDefault="00791E91" w:rsidP="00861508">
      <w:pPr>
        <w:jc w:val="both"/>
        <w:rPr>
          <w:sz w:val="19"/>
          <w:szCs w:val="19"/>
        </w:rPr>
      </w:pPr>
    </w:p>
    <w:p w:rsidR="00861508" w:rsidRPr="0005164C" w:rsidRDefault="00861508" w:rsidP="00861508">
      <w:pPr>
        <w:jc w:val="both"/>
        <w:rPr>
          <w:rFonts w:eastAsia="MS PGothic"/>
          <w:b/>
          <w:sz w:val="19"/>
          <w:szCs w:val="19"/>
        </w:rPr>
      </w:pPr>
    </w:p>
    <w:p w:rsidR="00272C82" w:rsidRPr="0005164C" w:rsidRDefault="00F84624" w:rsidP="004B1918">
      <w:pPr>
        <w:autoSpaceDE w:val="0"/>
        <w:autoSpaceDN w:val="0"/>
        <w:adjustRightInd w:val="0"/>
        <w:jc w:val="both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>Author</w:t>
      </w:r>
      <w:r w:rsidR="00861508" w:rsidRPr="0005164C">
        <w:rPr>
          <w:b/>
          <w:sz w:val="19"/>
          <w:szCs w:val="19"/>
          <w:lang w:val="en-NZ"/>
        </w:rPr>
        <w:t xml:space="preserve"> details</w:t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272C82" w:rsidRPr="0005164C" w:rsidRDefault="00F84624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noProof/>
          <w:sz w:val="19"/>
          <w:szCs w:val="19"/>
          <w:lang w:val="en-IN" w:eastAsia="en-IN"/>
        </w:rPr>
        <w:drawing>
          <wp:inline distT="0" distB="0" distL="0" distR="0">
            <wp:extent cx="828675" cy="1057275"/>
            <wp:effectExtent l="19050" t="0" r="9525" b="0"/>
            <wp:docPr id="4" name="Picture 4" descr="gate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ate201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61508" w:rsidRPr="0005164C">
        <w:rPr>
          <w:sz w:val="19"/>
          <w:szCs w:val="19"/>
          <w:lang w:val="en-NZ"/>
        </w:rPr>
        <w:br/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 w:rsidR="00F84624">
        <w:rPr>
          <w:sz w:val="19"/>
          <w:szCs w:val="19"/>
          <w:lang w:val="en-NZ"/>
        </w:rPr>
        <w:t xml:space="preserve"> Shouhartha Choudhury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 w:rsidR="00F84624">
        <w:rPr>
          <w:sz w:val="19"/>
          <w:szCs w:val="19"/>
          <w:lang w:val="en-NZ"/>
        </w:rPr>
        <w:t xml:space="preserve"> +91-9954411181</w:t>
      </w:r>
      <w:r w:rsidRPr="0005164C">
        <w:rPr>
          <w:sz w:val="19"/>
          <w:szCs w:val="19"/>
          <w:lang w:val="en-NZ"/>
        </w:rPr>
        <w:br/>
        <w:t>Twitter account:</w:t>
      </w:r>
      <w:r w:rsidR="00F84624">
        <w:rPr>
          <w:sz w:val="19"/>
          <w:szCs w:val="19"/>
          <w:lang w:val="en-NZ"/>
        </w:rPr>
        <w:t xml:space="preserve"> Shouhartha Choudhury</w:t>
      </w:r>
      <w:r w:rsidRPr="0005164C">
        <w:rPr>
          <w:sz w:val="19"/>
          <w:szCs w:val="19"/>
          <w:lang w:val="en-NZ"/>
        </w:rPr>
        <w:br/>
        <w:t>Linked In account:</w:t>
      </w:r>
      <w:r w:rsidR="00F84624">
        <w:rPr>
          <w:sz w:val="19"/>
          <w:szCs w:val="19"/>
          <w:lang w:val="en-NZ"/>
        </w:rPr>
        <w:t xml:space="preserve"> Shouhartha Choudhury</w:t>
      </w:r>
    </w:p>
    <w:p w:rsidR="00E9657E" w:rsidRDefault="00861508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Session name/ number:</w:t>
      </w:r>
      <w:r w:rsidR="00F84624">
        <w:rPr>
          <w:sz w:val="19"/>
          <w:szCs w:val="19"/>
          <w:lang w:val="en-NZ"/>
        </w:rPr>
        <w:t xml:space="preserve"> 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 xml:space="preserve">Category: (Oral </w:t>
      </w:r>
      <w:r w:rsidR="00F84624">
        <w:rPr>
          <w:sz w:val="19"/>
          <w:szCs w:val="19"/>
          <w:lang w:val="en-NZ"/>
        </w:rPr>
        <w:t>and p</w:t>
      </w:r>
      <w:r w:rsidRPr="0005164C">
        <w:rPr>
          <w:sz w:val="19"/>
          <w:szCs w:val="19"/>
          <w:lang w:val="en-NZ"/>
        </w:rPr>
        <w:t>oster presentation)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</w:p>
    <w:sectPr w:rsidR="00861508" w:rsidRPr="0005164C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utami">
    <w:panose1 w:val="020B0502040204020203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C1E3D"/>
    <w:multiLevelType w:val="hybridMultilevel"/>
    <w:tmpl w:val="FF003C42"/>
    <w:lvl w:ilvl="0" w:tplc="6898EFD2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A3C44"/>
    <w:multiLevelType w:val="hybridMultilevel"/>
    <w:tmpl w:val="F280A962"/>
    <w:lvl w:ilvl="0" w:tplc="2F866EE6">
      <w:start w:val="1"/>
      <w:numFmt w:val="upperRoman"/>
      <w:lvlText w:val="%1."/>
      <w:lvlJc w:val="left"/>
      <w:pPr>
        <w:ind w:left="99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">
    <w:nsid w:val="17D212E5"/>
    <w:multiLevelType w:val="hybridMultilevel"/>
    <w:tmpl w:val="562C2732"/>
    <w:lvl w:ilvl="0" w:tplc="A1FA9D3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szCs w:val="16"/>
        <w:vertAlign w:val="superscrip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8">
    <w:nsid w:val="4189603E"/>
    <w:multiLevelType w:val="multilevel"/>
    <w:tmpl w:val="1E7CD33E"/>
    <w:lvl w:ilvl="0">
      <w:start w:val="1"/>
      <w:numFmt w:val="upperRoman"/>
      <w:pStyle w:val="Heading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2">
      <w:start w:val="1"/>
      <w:numFmt w:val="decimal"/>
      <w:pStyle w:val="Heading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9">
    <w:nsid w:val="47D21714"/>
    <w:multiLevelType w:val="hybridMultilevel"/>
    <w:tmpl w:val="260AC2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155696F"/>
    <w:multiLevelType w:val="hybridMultilevel"/>
    <w:tmpl w:val="34AAC7BC"/>
    <w:lvl w:ilvl="0" w:tplc="C3A2D5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333333"/>
        <w:sz w:val="2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2">
    <w:nsid w:val="56536672"/>
    <w:multiLevelType w:val="hybridMultilevel"/>
    <w:tmpl w:val="D1CCF49A"/>
    <w:lvl w:ilvl="0" w:tplc="ABB25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4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6">
    <w:nsid w:val="754B1057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7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16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6"/>
  </w:num>
  <w:num w:numId="2">
    <w:abstractNumId w:val="14"/>
  </w:num>
  <w:num w:numId="3">
    <w:abstractNumId w:val="4"/>
  </w:num>
  <w:num w:numId="4">
    <w:abstractNumId w:val="8"/>
  </w:num>
  <w:num w:numId="5">
    <w:abstractNumId w:val="8"/>
  </w:num>
  <w:num w:numId="6">
    <w:abstractNumId w:val="8"/>
  </w:num>
  <w:num w:numId="7">
    <w:abstractNumId w:val="8"/>
  </w:num>
  <w:num w:numId="8">
    <w:abstractNumId w:val="11"/>
  </w:num>
  <w:num w:numId="9">
    <w:abstractNumId w:val="15"/>
  </w:num>
  <w:num w:numId="10">
    <w:abstractNumId w:val="7"/>
  </w:num>
  <w:num w:numId="11">
    <w:abstractNumId w:val="3"/>
  </w:num>
  <w:num w:numId="12">
    <w:abstractNumId w:val="18"/>
  </w:num>
  <w:num w:numId="13">
    <w:abstractNumId w:val="10"/>
  </w:num>
  <w:num w:numId="14">
    <w:abstractNumId w:val="12"/>
  </w:num>
  <w:num w:numId="15">
    <w:abstractNumId w:val="5"/>
    <w:lvlOverride w:ilvl="0">
      <w:startOverride w:val="1"/>
    </w:lvlOverride>
  </w:num>
  <w:num w:numId="16">
    <w:abstractNumId w:val="5"/>
    <w:lvlOverride w:ilvl="0">
      <w:startOverride w:val="2"/>
    </w:lvlOverride>
  </w:num>
  <w:num w:numId="17">
    <w:abstractNumId w:val="5"/>
    <w:lvlOverride w:ilvl="0">
      <w:startOverride w:val="3"/>
    </w:lvlOverride>
  </w:num>
  <w:num w:numId="18">
    <w:abstractNumId w:val="5"/>
    <w:lvlOverride w:ilvl="0">
      <w:startOverride w:val="4"/>
    </w:lvlOverride>
  </w:num>
  <w:num w:numId="19">
    <w:abstractNumId w:val="5"/>
    <w:lvlOverride w:ilvl="0">
      <w:startOverride w:val="5"/>
    </w:lvlOverride>
  </w:num>
  <w:num w:numId="20">
    <w:abstractNumId w:val="2"/>
  </w:num>
  <w:num w:numId="21">
    <w:abstractNumId w:val="1"/>
  </w:num>
  <w:num w:numId="22">
    <w:abstractNumId w:val="13"/>
  </w:num>
  <w:num w:numId="23">
    <w:abstractNumId w:val="16"/>
  </w:num>
  <w:num w:numId="24">
    <w:abstractNumId w:val="17"/>
  </w:num>
  <w:num w:numId="25">
    <w:abstractNumId w:val="0"/>
  </w:num>
  <w:num w:numId="2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1028"/>
  <w:defaultTabStop w:val="720"/>
  <w:doNotHyphenateCaps/>
  <w:characterSpacingControl w:val="doNotCompress"/>
  <w:doNotValidateAgainstSchema/>
  <w:doNotDemarcateInvalidXml/>
  <w:compat/>
  <w:rsids>
    <w:rsidRoot w:val="003A59A6"/>
    <w:rsid w:val="000165A9"/>
    <w:rsid w:val="0004390D"/>
    <w:rsid w:val="0005164C"/>
    <w:rsid w:val="00087164"/>
    <w:rsid w:val="000B4641"/>
    <w:rsid w:val="0010711E"/>
    <w:rsid w:val="00127EDD"/>
    <w:rsid w:val="001A771D"/>
    <w:rsid w:val="001E5C38"/>
    <w:rsid w:val="002043C0"/>
    <w:rsid w:val="00213E3C"/>
    <w:rsid w:val="00272C82"/>
    <w:rsid w:val="00276735"/>
    <w:rsid w:val="002837EB"/>
    <w:rsid w:val="002864A3"/>
    <w:rsid w:val="002B3B81"/>
    <w:rsid w:val="002D08D4"/>
    <w:rsid w:val="002F4829"/>
    <w:rsid w:val="0031181B"/>
    <w:rsid w:val="00351E9B"/>
    <w:rsid w:val="003A3DA3"/>
    <w:rsid w:val="003A47B5"/>
    <w:rsid w:val="003A59A6"/>
    <w:rsid w:val="003C0794"/>
    <w:rsid w:val="004059FE"/>
    <w:rsid w:val="004227FF"/>
    <w:rsid w:val="00436D10"/>
    <w:rsid w:val="00437646"/>
    <w:rsid w:val="004445B3"/>
    <w:rsid w:val="00466E41"/>
    <w:rsid w:val="004B1918"/>
    <w:rsid w:val="005B520E"/>
    <w:rsid w:val="005B535B"/>
    <w:rsid w:val="006108A4"/>
    <w:rsid w:val="00611DA9"/>
    <w:rsid w:val="006361D1"/>
    <w:rsid w:val="00663E31"/>
    <w:rsid w:val="006C4648"/>
    <w:rsid w:val="006E13E2"/>
    <w:rsid w:val="006F296E"/>
    <w:rsid w:val="006F30AC"/>
    <w:rsid w:val="007110AE"/>
    <w:rsid w:val="0072064C"/>
    <w:rsid w:val="007442B3"/>
    <w:rsid w:val="00753F7B"/>
    <w:rsid w:val="0078398E"/>
    <w:rsid w:val="00787C5A"/>
    <w:rsid w:val="007919DE"/>
    <w:rsid w:val="00791E91"/>
    <w:rsid w:val="007C0308"/>
    <w:rsid w:val="008014D2"/>
    <w:rsid w:val="008054BC"/>
    <w:rsid w:val="00812538"/>
    <w:rsid w:val="00841147"/>
    <w:rsid w:val="00857E28"/>
    <w:rsid w:val="00861508"/>
    <w:rsid w:val="00883A50"/>
    <w:rsid w:val="008A55B5"/>
    <w:rsid w:val="008A75C8"/>
    <w:rsid w:val="008C7699"/>
    <w:rsid w:val="008D5E30"/>
    <w:rsid w:val="00907876"/>
    <w:rsid w:val="0097508D"/>
    <w:rsid w:val="00985F3C"/>
    <w:rsid w:val="009D49B8"/>
    <w:rsid w:val="009F4A9D"/>
    <w:rsid w:val="00A00F74"/>
    <w:rsid w:val="00A23DD1"/>
    <w:rsid w:val="00A510F7"/>
    <w:rsid w:val="00AC6519"/>
    <w:rsid w:val="00B80FE0"/>
    <w:rsid w:val="00BB2D45"/>
    <w:rsid w:val="00BF51A4"/>
    <w:rsid w:val="00C0269B"/>
    <w:rsid w:val="00CB1404"/>
    <w:rsid w:val="00CB66E6"/>
    <w:rsid w:val="00CD1080"/>
    <w:rsid w:val="00D11F7D"/>
    <w:rsid w:val="00D319E1"/>
    <w:rsid w:val="00D9156D"/>
    <w:rsid w:val="00E177DC"/>
    <w:rsid w:val="00E75C62"/>
    <w:rsid w:val="00E91219"/>
    <w:rsid w:val="00E918C4"/>
    <w:rsid w:val="00E9657E"/>
    <w:rsid w:val="00EA506F"/>
    <w:rsid w:val="00ED4A1B"/>
    <w:rsid w:val="00EE4362"/>
    <w:rsid w:val="00EF18D7"/>
    <w:rsid w:val="00EF1E8A"/>
    <w:rsid w:val="00EF3A1A"/>
    <w:rsid w:val="00F711E9"/>
    <w:rsid w:val="00F73FCB"/>
    <w:rsid w:val="00F846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Heading5">
    <w:name w:val="heading 5"/>
    <w:basedOn w:val="Normal"/>
    <w:next w:val="Normal"/>
    <w:link w:val="Heading5Char"/>
    <w:uiPriority w:val="99"/>
    <w:qFormat/>
    <w:rsid w:val="006F30AC"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Heading2Char">
    <w:name w:val="Heading 2 Char"/>
    <w:link w:val="Heading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5Char">
    <w:name w:val="Heading 5 Char"/>
    <w:link w:val="Heading5"/>
    <w:uiPriority w:val="9"/>
    <w:semiHidden/>
    <w:locked/>
    <w:rsid w:val="006F30AC"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Affiliation">
    <w:name w:val="Affiliation"/>
    <w:uiPriority w:val="99"/>
    <w:rsid w:val="006F30AC"/>
    <w:pPr>
      <w:jc w:val="center"/>
    </w:pPr>
    <w:rPr>
      <w:rFonts w:ascii="Times New Roman" w:hAnsi="Times New Roman"/>
      <w:lang w:val="en-US" w:eastAsia="en-US"/>
    </w:rPr>
  </w:style>
  <w:style w:type="paragraph" w:customStyle="1" w:styleId="Author">
    <w:name w:val="Author"/>
    <w:uiPriority w:val="99"/>
    <w:rsid w:val="006F30AC"/>
    <w:pPr>
      <w:spacing w:before="360" w:after="40"/>
      <w:jc w:val="center"/>
    </w:pPr>
    <w:rPr>
      <w:rFonts w:ascii="Times New Roman" w:hAnsi="Times New Roman"/>
      <w:noProof/>
      <w:sz w:val="22"/>
      <w:szCs w:val="22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link w:val="BodyText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BodyText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footnote">
    <w:name w:val="footnote"/>
    <w:uiPriority w:val="99"/>
    <w:rsid w:val="006F30AC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  <w:lang w:val="en-US" w:eastAsia="en-US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  <w:lang w:val="en-US" w:eastAsia="en-US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  <w:lang w:val="en-US" w:eastAsia="en-US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sponsors">
    <w:name w:val="sponsors"/>
    <w:rsid w:val="006F30AC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tablecolhead">
    <w:name w:val="table col head"/>
    <w:basedOn w:val="Normal"/>
    <w:uiPriority w:val="99"/>
    <w:rsid w:val="006F30AC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sid w:val="006F30AC"/>
    <w:rPr>
      <w:i/>
      <w:iCs/>
      <w:sz w:val="15"/>
      <w:szCs w:val="15"/>
    </w:rPr>
  </w:style>
  <w:style w:type="paragraph" w:customStyle="1" w:styleId="tablecopy">
    <w:name w:val="table copy"/>
    <w:uiPriority w:val="99"/>
    <w:rsid w:val="006F30AC"/>
    <w:pPr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  <w:lang w:val="en-US" w:eastAsia="en-US"/>
    </w:rPr>
  </w:style>
  <w:style w:type="paragraph" w:customStyle="1" w:styleId="tablehead">
    <w:name w:val="table head"/>
    <w:uiPriority w:val="99"/>
    <w:rsid w:val="006F30AC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Strong">
    <w:name w:val="Strong"/>
    <w:uiPriority w:val="22"/>
    <w:qFormat/>
    <w:rsid w:val="003C0794"/>
    <w:rPr>
      <w:b/>
      <w:bCs/>
    </w:rPr>
  </w:style>
  <w:style w:type="character" w:styleId="Hyperlink">
    <w:name w:val="Hyperlink"/>
    <w:uiPriority w:val="99"/>
    <w:semiHidden/>
    <w:unhideWhenUsed/>
    <w:rsid w:val="003C0794"/>
    <w:rPr>
      <w:color w:val="0000FF"/>
      <w:u w:val="single"/>
    </w:rPr>
  </w:style>
  <w:style w:type="character" w:styleId="Emphasis">
    <w:name w:val="Emphasis"/>
    <w:uiPriority w:val="20"/>
    <w:qFormat/>
    <w:rsid w:val="003C0794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0794"/>
  </w:style>
  <w:style w:type="character" w:customStyle="1" w:styleId="CommentTextChar">
    <w:name w:val="Comment Text Char"/>
    <w:link w:val="CommentText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C0794"/>
    <w:pPr>
      <w:jc w:val="left"/>
    </w:pPr>
    <w:rPr>
      <w:rFonts w:cs="Gautami"/>
      <w:b/>
      <w:bCs/>
      <w:lang w:bidi="te-IN"/>
    </w:rPr>
  </w:style>
  <w:style w:type="character" w:customStyle="1" w:styleId="CommentSubjectChar">
    <w:name w:val="Comment Subject Char"/>
    <w:link w:val="CommentSubject"/>
    <w:uiPriority w:val="99"/>
    <w:semiHidden/>
    <w:rsid w:val="003C0794"/>
    <w:rPr>
      <w:rFonts w:ascii="Times New Roman" w:hAnsi="Times New Roman" w:cs="Gautami"/>
      <w:b/>
      <w:bCs/>
      <w:lang w:bidi="te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4A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4A1B"/>
    <w:rPr>
      <w:rFonts w:ascii="Tahoma" w:hAnsi="Tahoma" w:cs="Tahoma"/>
      <w:sz w:val="16"/>
      <w:szCs w:val="16"/>
      <w:lang w:val="en-US" w:eastAsia="en-US"/>
    </w:rPr>
  </w:style>
  <w:style w:type="character" w:customStyle="1" w:styleId="mim-text-font">
    <w:name w:val="mim-text-font"/>
    <w:basedOn w:val="DefaultParagraphFont"/>
    <w:rsid w:val="00ED4A1B"/>
  </w:style>
  <w:style w:type="paragraph" w:customStyle="1" w:styleId="EndNoteBibliography">
    <w:name w:val="EndNote Bibliography"/>
    <w:basedOn w:val="Normal"/>
    <w:link w:val="EndNoteBibliographyChar"/>
    <w:rsid w:val="00F84624"/>
    <w:pPr>
      <w:spacing w:after="200"/>
      <w:jc w:val="left"/>
    </w:pPr>
    <w:rPr>
      <w:rFonts w:ascii="Calibri" w:hAnsi="Calibri"/>
      <w:noProof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F84624"/>
    <w:rPr>
      <w:noProof/>
      <w:sz w:val="22"/>
      <w:szCs w:val="22"/>
      <w:lang w:val="en-US" w:eastAsia="en-US"/>
    </w:rPr>
  </w:style>
  <w:style w:type="character" w:styleId="HTMLCite">
    <w:name w:val="HTML Cite"/>
    <w:basedOn w:val="DefaultParagraphFont"/>
    <w:uiPriority w:val="99"/>
    <w:semiHidden/>
    <w:unhideWhenUsed/>
    <w:rsid w:val="004B1918"/>
    <w:rPr>
      <w:i/>
      <w:iCs/>
    </w:rPr>
  </w:style>
  <w:style w:type="character" w:customStyle="1" w:styleId="cs1-lock-free">
    <w:name w:val="cs1-lock-free"/>
    <w:basedOn w:val="DefaultParagraphFont"/>
    <w:rsid w:val="004B1918"/>
  </w:style>
  <w:style w:type="paragraph" w:styleId="ListParagraph">
    <w:name w:val="List Paragraph"/>
    <w:basedOn w:val="Normal"/>
    <w:uiPriority w:val="34"/>
    <w:qFormat/>
    <w:rsid w:val="0031181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2533</CharactersWithSpaces>
  <SharedDoc>false</SharedDoc>
  <HLinks>
    <vt:vector size="6" baseType="variant">
      <vt:variant>
        <vt:i4>4522076</vt:i4>
      </vt:variant>
      <vt:variant>
        <vt:i4>0</vt:i4>
      </vt:variant>
      <vt:variant>
        <vt:i4>0</vt:i4>
      </vt:variant>
      <vt:variant>
        <vt:i4>5</vt:i4>
      </vt:variant>
      <vt:variant>
        <vt:lpwstr>http://www.openaccessjournals.com/articles/major-risk-factors-for-atherosclerosis-and-metabolic-syndrome-the-uhs-12178.html</vt:lpwstr>
      </vt:variant>
      <vt:variant>
        <vt:lpwstr>a1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dell</cp:lastModifiedBy>
  <cp:revision>2</cp:revision>
  <dcterms:created xsi:type="dcterms:W3CDTF">2019-02-19T10:46:00Z</dcterms:created>
  <dcterms:modified xsi:type="dcterms:W3CDTF">2019-02-19T10:46:00Z</dcterms:modified>
</cp:coreProperties>
</file>