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17B" w:rsidRPr="006D6681" w:rsidRDefault="00196110" w:rsidP="00FF6112">
      <w:pPr>
        <w:jc w:val="both"/>
        <w:rPr>
          <w:b/>
        </w:rPr>
      </w:pPr>
      <w:r w:rsidRPr="006D6681">
        <w:rPr>
          <w:b/>
        </w:rPr>
        <w:t>Passive microfluidic production of multiple emulsions</w:t>
      </w:r>
    </w:p>
    <w:p w:rsidR="00196110" w:rsidRDefault="00196110" w:rsidP="00FF6112">
      <w:pPr>
        <w:jc w:val="both"/>
        <w:rPr>
          <w:lang w:val="pl-PL"/>
        </w:rPr>
      </w:pPr>
      <w:r w:rsidRPr="00196110">
        <w:rPr>
          <w:lang w:val="pl-PL"/>
        </w:rPr>
        <w:t>A</w:t>
      </w:r>
      <w:r>
        <w:rPr>
          <w:lang w:val="pl-PL"/>
        </w:rPr>
        <w:t xml:space="preserve">dam </w:t>
      </w:r>
      <w:r w:rsidRPr="00196110">
        <w:rPr>
          <w:lang w:val="pl-PL"/>
        </w:rPr>
        <w:t xml:space="preserve">S. Opalski, </w:t>
      </w:r>
      <w:r>
        <w:rPr>
          <w:lang w:val="pl-PL"/>
        </w:rPr>
        <w:t xml:space="preserve">Karol Makuch, </w:t>
      </w:r>
      <w:r w:rsidRPr="00196110">
        <w:rPr>
          <w:lang w:val="pl-PL"/>
        </w:rPr>
        <w:t>L</w:t>
      </w:r>
      <w:r>
        <w:rPr>
          <w:lang w:val="pl-PL"/>
        </w:rPr>
        <w:t>adislav</w:t>
      </w:r>
      <w:r w:rsidRPr="00196110">
        <w:rPr>
          <w:lang w:val="pl-PL"/>
        </w:rPr>
        <w:t xml:space="preserve"> Derzsi, </w:t>
      </w:r>
      <w:r>
        <w:rPr>
          <w:lang w:val="pl-PL"/>
        </w:rPr>
        <w:t>Piotr Garstecki</w:t>
      </w:r>
    </w:p>
    <w:p w:rsidR="00196110" w:rsidRDefault="00FF6112" w:rsidP="00FF6112">
      <w:pPr>
        <w:jc w:val="both"/>
      </w:pPr>
      <w:r>
        <w:t xml:space="preserve">Double emulsions </w:t>
      </w:r>
      <w:r w:rsidR="00393F80">
        <w:t xml:space="preserve">(DE) </w:t>
      </w:r>
      <w:r>
        <w:t xml:space="preserve">are complex fluid systems, with a core droplet (e.g. aqueous) surrounded by a liquid shell (e.g. of oil) and suspended in an external phase (e.g. aqueous). </w:t>
      </w:r>
      <w:r w:rsidR="00393F80">
        <w:t xml:space="preserve">The thinner the shell is, the higher stability is shown by the DE. </w:t>
      </w:r>
      <w:r>
        <w:t>They found use in various fields of life sciences, from production of polymerosomes to screening rare cells via flow-cytometry.</w:t>
      </w:r>
      <w:r w:rsidR="00393F80">
        <w:fldChar w:fldCharType="begin" w:fldLock="1"/>
      </w:r>
      <w:r w:rsidR="00393F80">
        <w:instrText>ADDIN CSL_CITATION {"citationItems":[{"id":"ITEM-1","itemData":{"DOI":"10.3390/mi8030075","ISSN":"2072-666X","abstract":"Microfluidic devices are promising tools for the production of monodispersed tuneable complex emulsions. This review highlights the advantages of microfluidics for the fabrication of emulsions and presents an overview of the microfluidic emulsification methods including two-step and single-step methods for the fabrication of high-order multiple emulsions (double, triple, quadruple and quintuple) and emulsions with multiple and/or multi-distinct inner cores. The microfluidic methods for the formation of multiple emulsion drops with ultra-thin middle phase, multi-compartment jets, and Janus and ternary drops composed of two or three distinct surface regions are also presented. Different configurations of microfluidic drop makers are covered, such as co-flow, T-junctions and flow focusing (both planar and three-dimensional (3D)). Furthermore, surface modifications of microfluidic channels and different modes of droplet generation are summarized. Non-confined microfluidic geometries used for buoyancy-driven drop generation and membrane integrated microfluidics are also discussed. The review includes parallelization and drop splitting strategies for scaling up microfluidic emulsification. The productivity of a single drop maker is typically &lt;1 mL/h; thus, more than 1000 drop makers are needed to achieve commercially relevant droplet throughputs of &gt;1 L/h, which requires combining drop makers into twodimensional (2D) and 3D assemblies fed from a single set of inlet ports through a network of distribution and collection channels.","author":[{"dropping-particle":"","family":"Vladisavljević","given":"Goran T.","non-dropping-particle":"","parse-names":false,"suffix":""},{"dropping-particle":"","family":"Nuumani","given":"Ruqaya","non-dropping-particle":"Al","parse-names":false,"suffix":""},{"dropping-particle":"","family":"Nabavi","given":"Seyed","non-dropping-particle":"","parse-names":false,"suffix":""}],"container-title":"Micromachines","id":"ITEM-1","issue":"3","issued":{"date-parts":[["2017","3","2"]]},"page":"75","publisher":"Multidisciplinary Digital Publishing Institute","title":"Microfluidic Production of Multiple Emulsions","type":"article-journal","volume":"8"},"uris":["http://www.mendeley.com/documents/?uuid=ae0a679f-ec48-3d5a-bb4a-2fa21108812c"]}],"mendeley":{"formattedCitation":"&lt;sup&gt;1&lt;/sup&gt;","plainTextFormattedCitation":"1","previouslyFormattedCitation":"&lt;sup&gt;1&lt;/sup&gt;"},"properties":{"noteIndex":0},"schema":"https://github.com/citation-style-language/schema/raw/master/csl-citation.json"}</w:instrText>
      </w:r>
      <w:r w:rsidR="00393F80">
        <w:fldChar w:fldCharType="separate"/>
      </w:r>
      <w:r w:rsidR="00393F80" w:rsidRPr="00393F80">
        <w:rPr>
          <w:noProof/>
          <w:vertAlign w:val="superscript"/>
        </w:rPr>
        <w:t>1</w:t>
      </w:r>
      <w:r w:rsidR="00393F80">
        <w:fldChar w:fldCharType="end"/>
      </w:r>
    </w:p>
    <w:p w:rsidR="00196110" w:rsidRDefault="00FF6112" w:rsidP="00FF6112">
      <w:pPr>
        <w:jc w:val="both"/>
      </w:pPr>
      <w:r>
        <w:t>Microfluidic production of emulsions is thoroughly investigated, both single and complex emulsions. Double emulsions, however, are mainly produced by active methods, i.e. by shearing off a core droplet (creating feed, single emulsion) and shearing off the feed emulsion into double emulsion. Passive methods, such as step emulsification, offer higher level of monodispersity of produced emulsions as well as greater ease of use and parallelization than active methods.</w:t>
      </w:r>
      <w:r w:rsidR="00393F80">
        <w:fldChar w:fldCharType="begin" w:fldLock="1"/>
      </w:r>
      <w:r w:rsidR="008B5A53">
        <w:instrText>ADDIN CSL_CITATION {"citationItems":[{"id":"ITEM-1","itemData":{"DOI":"10.1039/C6LC01018K","ISSN":"1473-0197","PMID":"27841886","abstract":"Precise and effective control of droplet generation is critical for applications of droplet microfluidics ranging from materials synthesis to lab-on-a-chip systems. Methods for droplet generation can be either passive or active, where the former generates droplets without external actuation, and the latter makes use of additional energy input in promoting interfacial instabilities for droplet generation. A unified physical understanding of both passive and active droplet generation is beneficial for effectively developing new techniques meeting various demands arising from applications. Our review of passive approaches focuses on the characteristics and mechanisms of breakup modes of droplet generation occurring in microfluidic cross-flow, co-flow, flow-focusing, and step emulsification configurations. The review of active approaches covers the state-of-the-art techniques employing either external forces from electrical, magnetic and centrifugal fields or methods of modifying intrinsic properties of flows or fluids such as velocity, viscosity, interfacial tension, channel wettability, and fluid density, with a focus on their implementations and actuation mechanisms. Also included in this review is the contrast among different approaches of either passive or active nature.","author":[{"dropping-particle":"","family":"Zhu","given":"Pingan","non-dropping-particle":"","parse-names":false,"suffix":""},{"dropping-particle":"","family":"Wang","given":"Liqiu","non-dropping-particle":"","parse-names":false,"suffix":""}],"container-title":"Lab Chip","id":"ITEM-1","issue":"1","issued":{"date-parts":[["2017"]]},"page":"34-75","publisher":"The Royal Society of Chemistry","title":"Passive and active droplet generation with microfluidics: a review","type":"article-journal","volume":"17"},"uris":["http://www.mendeley.com/documents/?uuid=9228a78e-712c-40c3-9d4b-a0623544e26d"]},{"id":"ITEM-2","itemData":{"DOI":"10.1039/C8LC01096J","ISSN":"1473-0197","abstract":"&lt;p&gt;Microfluidic step emulsification passively produces highly monodisperse droplets and can be easily parallelized for high throughput emulsion production. The two main techniques used for step emulsification are i) the Edge-based...&lt;/p&gt;","author":[{"dropping-particle":"","family":"Opalski","given":"Adam S","non-dropping-particle":"","parse-names":false,"suffix":""},{"dropping-particle":"","family":"Makuch","given":"Karol","non-dropping-particle":"","parse-names":false,"suffix":""},{"dropping-particle":"","family":"Lai","given":"Yu-Kai","non-dropping-particle":"","parse-names":false,"suffix":""},{"dropping-particle":"","family":"Derzsi","given":"Ladislav","non-dropping-particle":"","parse-names":false,"suffix":""},{"dropping-particle":"","family":"Garstecki","given":"Piotr","non-dropping-particle":"","parse-names":false,"suffix":""}],"container-title":"Lab on a Chip","id":"ITEM-2","issued":{"date-parts":[["2019"]]},"publisher":"Royal Society of Chemistry","title":"Grooved step emulsification systems optimize throughput of passive generation of monodisperse emulsions","type":"article-journal"},"uris":["http://www.mendeley.com/documents/?uuid=88967c22-86fb-44f7-af79-eb67c0842182"]}],"mendeley":{"formattedCitation":"&lt;sup&gt;2,3&lt;/sup&gt;","plainTextFormattedCitation":"2,3","previouslyFormattedCitation":"&lt;sup&gt;2&lt;/sup&gt;"},"properties":{"noteIndex":0},"schema":"https://github.com/citation-style-language/schema/raw/master/csl-citation.json"}</w:instrText>
      </w:r>
      <w:r w:rsidR="00393F80">
        <w:fldChar w:fldCharType="separate"/>
      </w:r>
      <w:r w:rsidR="008B5A53" w:rsidRPr="008B5A53">
        <w:rPr>
          <w:noProof/>
          <w:vertAlign w:val="superscript"/>
        </w:rPr>
        <w:t>2,3</w:t>
      </w:r>
      <w:r w:rsidR="00393F80">
        <w:fldChar w:fldCharType="end"/>
      </w:r>
    </w:p>
    <w:p w:rsidR="00393F80" w:rsidRDefault="006D6681" w:rsidP="00393F80">
      <w:pPr>
        <w:jc w:val="both"/>
      </w:pPr>
      <w:r>
        <w:t xml:space="preserve">Systematic investigation of the influence of feed emulsion parameters in the passive microfluidic system has never been carried out. </w:t>
      </w:r>
      <w:r w:rsidR="00393F80">
        <w:t>We present</w:t>
      </w:r>
      <w:r w:rsidR="00393F80" w:rsidRPr="00FF6112">
        <w:t xml:space="preserve"> a microfluidic system that allows </w:t>
      </w:r>
      <w:r w:rsidR="00393F80">
        <w:t xml:space="preserve">production of </w:t>
      </w:r>
      <w:r w:rsidR="00393F80" w:rsidRPr="00FF6112">
        <w:t xml:space="preserve">monodisperse double emulsion </w:t>
      </w:r>
      <w:r w:rsidR="00393F80">
        <w:t>(water</w:t>
      </w:r>
      <w:r w:rsidR="00393F80">
        <w:noBreakHyphen/>
        <w:t>in</w:t>
      </w:r>
      <w:r w:rsidR="00393F80">
        <w:noBreakHyphen/>
        <w:t>oil</w:t>
      </w:r>
      <w:r w:rsidR="00393F80">
        <w:noBreakHyphen/>
        <w:t>in</w:t>
      </w:r>
      <w:r w:rsidR="00393F80">
        <w:noBreakHyphen/>
        <w:t xml:space="preserve">water) </w:t>
      </w:r>
      <w:r w:rsidR="00393F80" w:rsidRPr="00FF6112">
        <w:t>with use of sequential step emulsification chips</w:t>
      </w:r>
      <w:r w:rsidR="00393F80">
        <w:t xml:space="preserve">. We investigate the mechanism of double emulsion formation on the step, taking into consideration chip geometry and fluids parameters. We find that the crucial parameters in controlling the monodispersity, size, and shell thickness of the DE are the channels geometry, size of the cores in the feed emulsion and viscosities of used fluids. </w:t>
      </w:r>
    </w:p>
    <w:p w:rsidR="006D6681" w:rsidRDefault="00393F80" w:rsidP="00FF6112">
      <w:pPr>
        <w:jc w:val="both"/>
      </w:pPr>
      <w:r>
        <w:t>Emulsification of pure oil feed (without cores) yields oil-in-water single emulsion of size d</w:t>
      </w:r>
      <w:r w:rsidRPr="00393F80">
        <w:rPr>
          <w:vertAlign w:val="subscript"/>
        </w:rPr>
        <w:t>oil</w:t>
      </w:r>
      <w:r>
        <w:t xml:space="preserve">. Sizes of the cores in </w:t>
      </w:r>
      <w:r w:rsidR="006D6681">
        <w:t xml:space="preserve">water-in-oil </w:t>
      </w:r>
      <w:r>
        <w:t>feed emulsion determine whether whole core droplet will fully slip into the forming double droplet</w:t>
      </w:r>
      <w:r w:rsidR="006D6681">
        <w:t xml:space="preserve"> (d</w:t>
      </w:r>
      <w:r w:rsidR="006D6681" w:rsidRPr="006D6681">
        <w:rPr>
          <w:vertAlign w:val="subscript"/>
        </w:rPr>
        <w:t>core</w:t>
      </w:r>
      <w:r w:rsidR="006D6681">
        <w:t>&lt;d</w:t>
      </w:r>
      <w:r w:rsidR="006D6681" w:rsidRPr="006D6681">
        <w:rPr>
          <w:vertAlign w:val="subscript"/>
        </w:rPr>
        <w:t>oil</w:t>
      </w:r>
      <w:r w:rsidR="006D6681">
        <w:t>). For d</w:t>
      </w:r>
      <w:r w:rsidR="006D6681" w:rsidRPr="006D6681">
        <w:rPr>
          <w:vertAlign w:val="subscript"/>
        </w:rPr>
        <w:t>core</w:t>
      </w:r>
      <w:r w:rsidR="006D6681">
        <w:t>&gt;d</w:t>
      </w:r>
      <w:r w:rsidR="006D6681" w:rsidRPr="006D6681">
        <w:rPr>
          <w:vertAlign w:val="subscript"/>
        </w:rPr>
        <w:t>oil</w:t>
      </w:r>
      <w:r w:rsidR="006D6681">
        <w:t xml:space="preserve"> the </w:t>
      </w:r>
      <w:r>
        <w:t xml:space="preserve">core droplet </w:t>
      </w:r>
      <w:r w:rsidR="006D6681">
        <w:t xml:space="preserve">can either </w:t>
      </w:r>
      <w:r>
        <w:t xml:space="preserve">slip </w:t>
      </w:r>
      <w:r w:rsidR="006D6681">
        <w:t xml:space="preserve">whole </w:t>
      </w:r>
      <w:r>
        <w:t xml:space="preserve">into forming DE </w:t>
      </w:r>
      <w:r w:rsidR="006D6681">
        <w:t xml:space="preserve">(thus forming big, thin-shelled DE) </w:t>
      </w:r>
      <w:r>
        <w:t>or split at the st</w:t>
      </w:r>
      <w:r w:rsidR="006D6681">
        <w:t>ep of the microfluidic device (thus forming multiple water-in-oil-in-water double emulsion droplets from a single core).</w:t>
      </w:r>
      <w:r w:rsidR="006D6681">
        <w:fldChar w:fldCharType="begin" w:fldLock="1"/>
      </w:r>
      <w:r w:rsidR="008B5A53">
        <w:instrText>ADDIN CSL_CITATION {"citationItems":[{"id":"ITEM-1","itemData":{"DOI":"10.1002/adfm.201806821","ISSN":"1616301X","author":[{"dropping-particle":"","family":"Ofner","given":"Alessandro","non-dropping-particle":"","parse-names":false,"suffix":""},{"dropping-particle":"","family":"Mattich","given":"Iacopo","non-dropping-particle":"","parse-names":false,"suffix":""},{"dropping-particle":"","family":"Hagander","given":"Michael","non-dropping-particle":"","parse-names":false,"suffix":""},{"dropping-particle":"","family":"Dutto","given":"Alessandro","non-dropping-particle":"","parse-names":false,"suffix":""},{"dropping-particle":"","family":"Seybold","given":"Hansjörg","non-dropping-particle":"","parse-names":false,"suffix":""},{"dropping-particle":"","family":"Rühs","given":"Patrick A.","non-dropping-particle":"","parse-names":false,"suffix":""},{"dropping-particle":"","family":"Studart","given":"André R.","non-dropping-particle":"","parse-names":false,"suffix":""}],"container-title":"Advanced Functional Materials","id":"ITEM-1","issued":{"date-parts":[["2018"]]},"page":"1806821","title":"Controlled Massive Encapsulation via Tandem Step Emulsification in Glass","type":"article-journal","volume":"1806821"},"uris":["http://www.mendeley.com/documents/?uuid=6cb0b595-bf2f-43c7-99fe-175054d6f20a"]}],"mendeley":{"formattedCitation":"&lt;sup&gt;4&lt;/sup&gt;","plainTextFormattedCitation":"4","previouslyFormattedCitation":"&lt;sup&gt;3&lt;/sup&gt;"},"properties":{"noteIndex":0},"schema":"https://github.com/citation-style-language/schema/raw/master/csl-citation.json"}</w:instrText>
      </w:r>
      <w:r w:rsidR="006D6681">
        <w:fldChar w:fldCharType="separate"/>
      </w:r>
      <w:r w:rsidR="008B5A53" w:rsidRPr="008B5A53">
        <w:rPr>
          <w:noProof/>
          <w:vertAlign w:val="superscript"/>
        </w:rPr>
        <w:t>4</w:t>
      </w:r>
      <w:r w:rsidR="006D6681">
        <w:fldChar w:fldCharType="end"/>
      </w:r>
      <w:r w:rsidR="006D6681">
        <w:t xml:space="preserve"> We identify the reason for ‘split-or-slip’ behavior as the function of ratios of viscosity of used liquids. We show that by manipulation of the used fluids we can produce thin-shelled double emulsions in passive </w:t>
      </w:r>
      <w:r w:rsidR="00893B29">
        <w:t>manner.</w:t>
      </w:r>
      <w:bookmarkStart w:id="0" w:name="_GoBack"/>
      <w:bookmarkEnd w:id="0"/>
    </w:p>
    <w:p w:rsidR="008B5A53" w:rsidRPr="008B5A53" w:rsidRDefault="008E5D10" w:rsidP="008B5A53">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8B5A53" w:rsidRPr="008B5A53">
        <w:rPr>
          <w:rFonts w:ascii="Calibri" w:hAnsi="Calibri" w:cs="Calibri"/>
          <w:noProof/>
          <w:szCs w:val="24"/>
        </w:rPr>
        <w:t>1</w:t>
      </w:r>
      <w:r w:rsidR="008B5A53" w:rsidRPr="008B5A53">
        <w:rPr>
          <w:rFonts w:ascii="Calibri" w:hAnsi="Calibri" w:cs="Calibri"/>
          <w:noProof/>
          <w:szCs w:val="24"/>
        </w:rPr>
        <w:tab/>
        <w:t xml:space="preserve">G. T. Vladisavljević, R. Al Nuumani and S. Nabavi, </w:t>
      </w:r>
      <w:r w:rsidR="008B5A53" w:rsidRPr="008B5A53">
        <w:rPr>
          <w:rFonts w:ascii="Calibri" w:hAnsi="Calibri" w:cs="Calibri"/>
          <w:i/>
          <w:iCs/>
          <w:noProof/>
          <w:szCs w:val="24"/>
        </w:rPr>
        <w:t>Micromachines</w:t>
      </w:r>
      <w:r w:rsidR="008B5A53" w:rsidRPr="008B5A53">
        <w:rPr>
          <w:rFonts w:ascii="Calibri" w:hAnsi="Calibri" w:cs="Calibri"/>
          <w:noProof/>
          <w:szCs w:val="24"/>
        </w:rPr>
        <w:t xml:space="preserve">, 2017, </w:t>
      </w:r>
      <w:r w:rsidR="008B5A53" w:rsidRPr="008B5A53">
        <w:rPr>
          <w:rFonts w:ascii="Calibri" w:hAnsi="Calibri" w:cs="Calibri"/>
          <w:b/>
          <w:bCs/>
          <w:noProof/>
          <w:szCs w:val="24"/>
        </w:rPr>
        <w:t>8</w:t>
      </w:r>
      <w:r w:rsidR="008B5A53" w:rsidRPr="008B5A53">
        <w:rPr>
          <w:rFonts w:ascii="Calibri" w:hAnsi="Calibri" w:cs="Calibri"/>
          <w:noProof/>
          <w:szCs w:val="24"/>
        </w:rPr>
        <w:t>, 75.</w:t>
      </w:r>
    </w:p>
    <w:p w:rsidR="008B5A53" w:rsidRPr="008B5A53" w:rsidRDefault="008B5A53" w:rsidP="008B5A53">
      <w:pPr>
        <w:widowControl w:val="0"/>
        <w:autoSpaceDE w:val="0"/>
        <w:autoSpaceDN w:val="0"/>
        <w:adjustRightInd w:val="0"/>
        <w:spacing w:line="240" w:lineRule="auto"/>
        <w:ind w:left="640" w:hanging="640"/>
        <w:rPr>
          <w:rFonts w:ascii="Calibri" w:hAnsi="Calibri" w:cs="Calibri"/>
          <w:noProof/>
          <w:szCs w:val="24"/>
        </w:rPr>
      </w:pPr>
      <w:r w:rsidRPr="008B5A53">
        <w:rPr>
          <w:rFonts w:ascii="Calibri" w:hAnsi="Calibri" w:cs="Calibri"/>
          <w:noProof/>
          <w:szCs w:val="24"/>
        </w:rPr>
        <w:t>2</w:t>
      </w:r>
      <w:r w:rsidRPr="008B5A53">
        <w:rPr>
          <w:rFonts w:ascii="Calibri" w:hAnsi="Calibri" w:cs="Calibri"/>
          <w:noProof/>
          <w:szCs w:val="24"/>
        </w:rPr>
        <w:tab/>
        <w:t xml:space="preserve">P. Zhu and L. Wang, </w:t>
      </w:r>
      <w:r w:rsidRPr="008B5A53">
        <w:rPr>
          <w:rFonts w:ascii="Calibri" w:hAnsi="Calibri" w:cs="Calibri"/>
          <w:i/>
          <w:iCs/>
          <w:noProof/>
          <w:szCs w:val="24"/>
        </w:rPr>
        <w:t>Lab Chip</w:t>
      </w:r>
      <w:r w:rsidRPr="008B5A53">
        <w:rPr>
          <w:rFonts w:ascii="Calibri" w:hAnsi="Calibri" w:cs="Calibri"/>
          <w:noProof/>
          <w:szCs w:val="24"/>
        </w:rPr>
        <w:t xml:space="preserve">, 2017, </w:t>
      </w:r>
      <w:r w:rsidRPr="008B5A53">
        <w:rPr>
          <w:rFonts w:ascii="Calibri" w:hAnsi="Calibri" w:cs="Calibri"/>
          <w:b/>
          <w:bCs/>
          <w:noProof/>
          <w:szCs w:val="24"/>
        </w:rPr>
        <w:t>17</w:t>
      </w:r>
      <w:r w:rsidRPr="008B5A53">
        <w:rPr>
          <w:rFonts w:ascii="Calibri" w:hAnsi="Calibri" w:cs="Calibri"/>
          <w:noProof/>
          <w:szCs w:val="24"/>
        </w:rPr>
        <w:t>, 34–75.</w:t>
      </w:r>
    </w:p>
    <w:p w:rsidR="008B5A53" w:rsidRPr="008B5A53" w:rsidRDefault="008B5A53" w:rsidP="008B5A53">
      <w:pPr>
        <w:widowControl w:val="0"/>
        <w:autoSpaceDE w:val="0"/>
        <w:autoSpaceDN w:val="0"/>
        <w:adjustRightInd w:val="0"/>
        <w:spacing w:line="240" w:lineRule="auto"/>
        <w:ind w:left="640" w:hanging="640"/>
        <w:rPr>
          <w:rFonts w:ascii="Calibri" w:hAnsi="Calibri" w:cs="Calibri"/>
          <w:noProof/>
          <w:szCs w:val="24"/>
        </w:rPr>
      </w:pPr>
      <w:r w:rsidRPr="008B5A53">
        <w:rPr>
          <w:rFonts w:ascii="Calibri" w:hAnsi="Calibri" w:cs="Calibri"/>
          <w:noProof/>
          <w:szCs w:val="24"/>
        </w:rPr>
        <w:t>3</w:t>
      </w:r>
      <w:r w:rsidRPr="008B5A53">
        <w:rPr>
          <w:rFonts w:ascii="Calibri" w:hAnsi="Calibri" w:cs="Calibri"/>
          <w:noProof/>
          <w:szCs w:val="24"/>
        </w:rPr>
        <w:tab/>
        <w:t xml:space="preserve">A. S. Opalski, K. Makuch, Y.-K. Lai, L. Derzsi and P. Garstecki, </w:t>
      </w:r>
      <w:r w:rsidRPr="008B5A53">
        <w:rPr>
          <w:rFonts w:ascii="Calibri" w:hAnsi="Calibri" w:cs="Calibri"/>
          <w:i/>
          <w:iCs/>
          <w:noProof/>
          <w:szCs w:val="24"/>
        </w:rPr>
        <w:t>Lab Chip</w:t>
      </w:r>
      <w:r w:rsidRPr="008B5A53">
        <w:rPr>
          <w:rFonts w:ascii="Calibri" w:hAnsi="Calibri" w:cs="Calibri"/>
          <w:noProof/>
          <w:szCs w:val="24"/>
        </w:rPr>
        <w:t>, 2019.</w:t>
      </w:r>
    </w:p>
    <w:p w:rsidR="008B5A53" w:rsidRPr="008B5A53" w:rsidRDefault="008B5A53" w:rsidP="008B5A53">
      <w:pPr>
        <w:widowControl w:val="0"/>
        <w:autoSpaceDE w:val="0"/>
        <w:autoSpaceDN w:val="0"/>
        <w:adjustRightInd w:val="0"/>
        <w:spacing w:line="240" w:lineRule="auto"/>
        <w:ind w:left="640" w:hanging="640"/>
        <w:rPr>
          <w:rFonts w:ascii="Calibri" w:hAnsi="Calibri" w:cs="Calibri"/>
          <w:noProof/>
        </w:rPr>
      </w:pPr>
      <w:r w:rsidRPr="008B5A53">
        <w:rPr>
          <w:rFonts w:ascii="Calibri" w:hAnsi="Calibri" w:cs="Calibri"/>
          <w:noProof/>
          <w:szCs w:val="24"/>
        </w:rPr>
        <w:t>4</w:t>
      </w:r>
      <w:r w:rsidRPr="008B5A53">
        <w:rPr>
          <w:rFonts w:ascii="Calibri" w:hAnsi="Calibri" w:cs="Calibri"/>
          <w:noProof/>
          <w:szCs w:val="24"/>
        </w:rPr>
        <w:tab/>
        <w:t xml:space="preserve">A. Ofner, I. Mattich, M. Hagander, A. Dutto, H. Seybold, P. A. Rühs and A. R. Studart, </w:t>
      </w:r>
      <w:r w:rsidRPr="008B5A53">
        <w:rPr>
          <w:rFonts w:ascii="Calibri" w:hAnsi="Calibri" w:cs="Calibri"/>
          <w:i/>
          <w:iCs/>
          <w:noProof/>
          <w:szCs w:val="24"/>
        </w:rPr>
        <w:t>Adv. Funct. Mater.</w:t>
      </w:r>
      <w:r w:rsidRPr="008B5A53">
        <w:rPr>
          <w:rFonts w:ascii="Calibri" w:hAnsi="Calibri" w:cs="Calibri"/>
          <w:noProof/>
          <w:szCs w:val="24"/>
        </w:rPr>
        <w:t xml:space="preserve">, 2018, </w:t>
      </w:r>
      <w:r w:rsidRPr="008B5A53">
        <w:rPr>
          <w:rFonts w:ascii="Calibri" w:hAnsi="Calibri" w:cs="Calibri"/>
          <w:b/>
          <w:bCs/>
          <w:noProof/>
          <w:szCs w:val="24"/>
        </w:rPr>
        <w:t>1806821</w:t>
      </w:r>
      <w:r w:rsidRPr="008B5A53">
        <w:rPr>
          <w:rFonts w:ascii="Calibri" w:hAnsi="Calibri" w:cs="Calibri"/>
          <w:noProof/>
          <w:szCs w:val="24"/>
        </w:rPr>
        <w:t>, 1806821.</w:t>
      </w:r>
    </w:p>
    <w:p w:rsidR="008E5D10" w:rsidRPr="00196110" w:rsidRDefault="008E5D10" w:rsidP="00FF6112">
      <w:pPr>
        <w:jc w:val="both"/>
      </w:pPr>
      <w:r>
        <w:fldChar w:fldCharType="end"/>
      </w:r>
    </w:p>
    <w:sectPr w:rsidR="008E5D10" w:rsidRPr="001961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894117"/>
    <w:multiLevelType w:val="hybridMultilevel"/>
    <w:tmpl w:val="4FF25A32"/>
    <w:lvl w:ilvl="0" w:tplc="AF76E428">
      <w:start w:val="1"/>
      <w:numFmt w:val="decimal"/>
      <w:lvlText w:val="%1)"/>
      <w:lvlJc w:val="left"/>
      <w:pPr>
        <w:ind w:left="360" w:hanging="360"/>
      </w:pPr>
      <w:rPr>
        <w:rFonts w:asciiTheme="minorHAnsi" w:eastAsiaTheme="minorHAnsi" w:hAnsiTheme="minorHAnsi" w:cstheme="minorBidi"/>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110"/>
    <w:rsid w:val="00092DBF"/>
    <w:rsid w:val="00196110"/>
    <w:rsid w:val="002A217B"/>
    <w:rsid w:val="00393F80"/>
    <w:rsid w:val="0040393A"/>
    <w:rsid w:val="004725AE"/>
    <w:rsid w:val="006D6681"/>
    <w:rsid w:val="007319B9"/>
    <w:rsid w:val="00893B29"/>
    <w:rsid w:val="008B5A53"/>
    <w:rsid w:val="008E5D10"/>
    <w:rsid w:val="00A85FB1"/>
    <w:rsid w:val="00B01168"/>
    <w:rsid w:val="00FF6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7B002D-F2AC-49DC-935E-2AC1B271F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6A089-9561-4000-B302-3DD7361D0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1566</Words>
  <Characters>8927</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IChF</Company>
  <LinksUpToDate>false</LinksUpToDate>
  <CharactersWithSpaces>10473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Opalski</dc:creator>
  <cp:keywords/>
  <dc:description/>
  <cp:lastModifiedBy>Adam Opalski</cp:lastModifiedBy>
  <cp:revision>3</cp:revision>
  <dcterms:created xsi:type="dcterms:W3CDTF">2019-03-13T15:13:00Z</dcterms:created>
  <dcterms:modified xsi:type="dcterms:W3CDTF">2019-03-13T15:15:00Z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36462e3c-4d0c-300e-a6cb-ffbfe56afe00</vt:lpwstr>
  </property>
  <property fmtid="{D5CDD505-2E9C-101B-9397-08002B2CF9AE}" pid="4" name="Mendeley Citation Style_1">
    <vt:lpwstr>http://www.zotero.org/styles/lab-on-a-chip</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http://csl.mendeley.com/styles/479145131/chicago-author-date</vt:lpwstr>
  </property>
  <property fmtid="{D5CDD505-2E9C-101B-9397-08002B2CF9AE}" pid="10" name="Mendeley Recent Style Name 2_1">
    <vt:lpwstr>Chicago Manual of Style 16th edition (author-date) - Adam Opalski2</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http://www.zotero.org/styles/lab-on-a-chip</vt:lpwstr>
  </property>
  <property fmtid="{D5CDD505-2E9C-101B-9397-08002B2CF9AE}" pid="16" name="Mendeley Recent Style Name 5_1">
    <vt:lpwstr>Lab on a Chip</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http://www.zotero.org/styles/royal-society-of-chemistry</vt:lpwstr>
  </property>
  <property fmtid="{D5CDD505-2E9C-101B-9397-08002B2CF9AE}" pid="22" name="Mendeley Recent Style Name 8_1">
    <vt:lpwstr>Royal Society of Chemistry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