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794" w:rsidRPr="009D49B8" w:rsidRDefault="003C0794" w:rsidP="002C130C">
      <w:pPr>
        <w:jc w:val="both"/>
        <w:rPr>
          <w:rFonts w:eastAsia="MS PGothic"/>
          <w:b/>
          <w:color w:val="000000"/>
          <w:sz w:val="22"/>
          <w:szCs w:val="22"/>
          <w:rtl/>
          <w:lang w:bidi="fa-IR"/>
        </w:rPr>
      </w:pPr>
      <w:r w:rsidRPr="009D49B8">
        <w:rPr>
          <w:rFonts w:eastAsia="MS PGothic"/>
          <w:b/>
          <w:color w:val="000000"/>
          <w:sz w:val="22"/>
          <w:szCs w:val="22"/>
        </w:rPr>
        <w:t xml:space="preserve">Title: </w:t>
      </w:r>
      <w:r w:rsidR="002C130C" w:rsidRPr="002C130C">
        <w:rPr>
          <w:rFonts w:eastAsia="MS PGothic"/>
          <w:b/>
          <w:color w:val="000000"/>
          <w:sz w:val="22"/>
          <w:szCs w:val="22"/>
          <w:lang w:val="en-AU"/>
        </w:rPr>
        <w:t>Inertial Micromixing in Curved Serpentine Micromixers with Different Curvature Angles</w:t>
      </w:r>
    </w:p>
    <w:p w:rsidR="0005164C" w:rsidRPr="009D49B8" w:rsidRDefault="0005164C" w:rsidP="003C0794">
      <w:pPr>
        <w:jc w:val="both"/>
        <w:rPr>
          <w:rFonts w:eastAsia="MS PGothic"/>
          <w:color w:val="000000"/>
          <w:sz w:val="22"/>
          <w:szCs w:val="22"/>
        </w:rPr>
      </w:pPr>
    </w:p>
    <w:p w:rsidR="00730E55" w:rsidRPr="00730E55" w:rsidRDefault="00730E55" w:rsidP="00730E55">
      <w:pPr>
        <w:shd w:val="clear" w:color="auto" w:fill="FFFFFF"/>
        <w:spacing w:after="150"/>
        <w:jc w:val="both"/>
        <w:rPr>
          <w:b/>
          <w:bCs/>
          <w:sz w:val="19"/>
          <w:szCs w:val="19"/>
          <w:vertAlign w:val="superscript"/>
          <w:lang w:val="en-AU" w:eastAsia="en-IN"/>
        </w:rPr>
      </w:pPr>
      <w:r w:rsidRPr="00730E55">
        <w:rPr>
          <w:b/>
          <w:bCs/>
          <w:sz w:val="19"/>
          <w:szCs w:val="19"/>
          <w:lang w:val="en-AU" w:eastAsia="en-IN"/>
        </w:rPr>
        <w:t>Hossein Alijani</w:t>
      </w:r>
      <w:r w:rsidRPr="00730E55">
        <w:rPr>
          <w:b/>
          <w:bCs/>
          <w:sz w:val="19"/>
          <w:szCs w:val="19"/>
          <w:vertAlign w:val="superscript"/>
          <w:lang w:val="en-AU" w:eastAsia="en-IN"/>
        </w:rPr>
        <w:t xml:space="preserve"> </w:t>
      </w:r>
      <w:r>
        <w:rPr>
          <w:b/>
          <w:bCs/>
          <w:sz w:val="19"/>
          <w:szCs w:val="19"/>
          <w:vertAlign w:val="superscript"/>
          <w:lang w:val="en-AU" w:eastAsia="en-IN"/>
        </w:rPr>
        <w:t>1</w:t>
      </w:r>
      <w:r w:rsidRPr="00730E55">
        <w:rPr>
          <w:b/>
          <w:bCs/>
          <w:sz w:val="19"/>
          <w:szCs w:val="19"/>
          <w:lang w:val="en-AU" w:eastAsia="en-IN"/>
        </w:rPr>
        <w:t xml:space="preserve">, Arzu Özbey </w:t>
      </w:r>
      <w:r>
        <w:rPr>
          <w:b/>
          <w:bCs/>
          <w:sz w:val="19"/>
          <w:szCs w:val="19"/>
          <w:vertAlign w:val="superscript"/>
          <w:lang w:val="en-AU" w:eastAsia="en-IN"/>
        </w:rPr>
        <w:t>1</w:t>
      </w:r>
      <w:r w:rsidRPr="00730E55">
        <w:rPr>
          <w:b/>
          <w:bCs/>
          <w:sz w:val="19"/>
          <w:szCs w:val="19"/>
          <w:lang w:val="en-AU" w:eastAsia="en-IN"/>
        </w:rPr>
        <w:t xml:space="preserve">, Mehrdad Karimzadehkhouei </w:t>
      </w:r>
      <w:r>
        <w:rPr>
          <w:b/>
          <w:bCs/>
          <w:sz w:val="19"/>
          <w:szCs w:val="19"/>
          <w:vertAlign w:val="superscript"/>
          <w:lang w:val="en-AU" w:eastAsia="en-IN"/>
        </w:rPr>
        <w:t>1</w:t>
      </w:r>
      <w:r w:rsidRPr="00730E55">
        <w:rPr>
          <w:b/>
          <w:bCs/>
          <w:sz w:val="19"/>
          <w:szCs w:val="19"/>
          <w:lang w:val="en-AU" w:eastAsia="en-IN"/>
        </w:rPr>
        <w:t xml:space="preserve">, Ali Koşar </w:t>
      </w:r>
      <w:r>
        <w:rPr>
          <w:b/>
          <w:bCs/>
          <w:sz w:val="19"/>
          <w:szCs w:val="19"/>
          <w:vertAlign w:val="superscript"/>
          <w:lang w:val="en-AU" w:eastAsia="en-IN"/>
        </w:rPr>
        <w:t>1</w:t>
      </w:r>
      <w:proofErr w:type="gramStart"/>
      <w:r>
        <w:rPr>
          <w:b/>
          <w:bCs/>
          <w:sz w:val="19"/>
          <w:szCs w:val="19"/>
          <w:vertAlign w:val="superscript"/>
          <w:lang w:val="en-AU" w:eastAsia="en-IN"/>
        </w:rPr>
        <w:t>,2</w:t>
      </w:r>
      <w:proofErr w:type="gramEnd"/>
    </w:p>
    <w:p w:rsidR="003C0794" w:rsidRPr="003C0794" w:rsidRDefault="003C0794" w:rsidP="003C0794">
      <w:pPr>
        <w:shd w:val="clear" w:color="auto" w:fill="FFFFFF"/>
        <w:spacing w:after="150"/>
        <w:jc w:val="both"/>
        <w:rPr>
          <w:sz w:val="19"/>
          <w:szCs w:val="19"/>
          <w:lang w:val="en-IN" w:eastAsia="en-IN"/>
        </w:rPr>
      </w:pPr>
    </w:p>
    <w:p w:rsidR="00730E55" w:rsidRPr="00730E55" w:rsidRDefault="003C0794" w:rsidP="00730E55">
      <w:pPr>
        <w:shd w:val="clear" w:color="auto" w:fill="FFFFFF"/>
        <w:jc w:val="both"/>
        <w:rPr>
          <w:sz w:val="19"/>
          <w:szCs w:val="19"/>
          <w:lang w:val="en-AU" w:eastAsia="en-IN"/>
        </w:rPr>
      </w:pPr>
      <w:r w:rsidRPr="00351E9B">
        <w:rPr>
          <w:sz w:val="19"/>
          <w:szCs w:val="19"/>
          <w:vertAlign w:val="superscript"/>
          <w:lang w:val="en-IN" w:eastAsia="en-IN"/>
        </w:rPr>
        <w:t>1</w:t>
      </w:r>
      <w:bookmarkStart w:id="0" w:name="a1"/>
      <w:bookmarkEnd w:id="0"/>
      <w:r w:rsidR="00730E55">
        <w:rPr>
          <w:sz w:val="19"/>
          <w:szCs w:val="19"/>
          <w:lang w:val="en-IN" w:eastAsia="en-IN"/>
        </w:rPr>
        <w:t xml:space="preserve"> </w:t>
      </w:r>
      <w:r w:rsidR="00730E55" w:rsidRPr="00730E55">
        <w:rPr>
          <w:sz w:val="19"/>
          <w:szCs w:val="19"/>
          <w:lang w:val="en-AU" w:eastAsia="en-IN"/>
        </w:rPr>
        <w:t>Mechatronics Engineering Program, Faculty of Engineering and Natural Science, Sabanci University, Tuzla, Istanbul 34956, Turkey</w:t>
      </w:r>
    </w:p>
    <w:p w:rsidR="00730E55" w:rsidRPr="00730E55" w:rsidRDefault="003C0794" w:rsidP="00730E55">
      <w:pPr>
        <w:shd w:val="clear" w:color="auto" w:fill="FFFFFF"/>
        <w:jc w:val="both"/>
        <w:rPr>
          <w:sz w:val="19"/>
          <w:szCs w:val="19"/>
          <w:lang w:val="en-AU" w:eastAsia="en-IN"/>
        </w:rPr>
      </w:pPr>
      <w:r w:rsidRPr="00351E9B">
        <w:rPr>
          <w:sz w:val="19"/>
          <w:szCs w:val="19"/>
          <w:vertAlign w:val="superscript"/>
          <w:lang w:val="en-IN" w:eastAsia="en-IN"/>
        </w:rPr>
        <w:t>2</w:t>
      </w:r>
      <w:bookmarkStart w:id="1" w:name="a2"/>
      <w:bookmarkEnd w:id="1"/>
      <w:r w:rsidR="00730E55" w:rsidRPr="00730E55">
        <w:rPr>
          <w:rFonts w:asciiTheme="majorBidi" w:eastAsiaTheme="minorHAnsi" w:hAnsiTheme="majorBidi" w:cstheme="minorHAnsi"/>
          <w:color w:val="000000" w:themeColor="text1"/>
          <w:szCs w:val="18"/>
          <w:lang w:val="en-AU"/>
        </w:rPr>
        <w:t xml:space="preserve"> </w:t>
      </w:r>
      <w:r w:rsidR="00730E55" w:rsidRPr="00730E55">
        <w:rPr>
          <w:sz w:val="19"/>
          <w:szCs w:val="19"/>
          <w:lang w:val="en-AU" w:eastAsia="en-IN"/>
        </w:rPr>
        <w:t>Center of Excellence for Functional Surfaces and Interfaces for Nano-Diagnostics (EFSUN), Sabanci University, Tuzla, Istanbul 34956, Turkey</w:t>
      </w:r>
    </w:p>
    <w:p w:rsidR="00861508" w:rsidRPr="0005164C" w:rsidRDefault="00861508" w:rsidP="00730E55">
      <w:pPr>
        <w:jc w:val="both"/>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730E55">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730E55" w:rsidRPr="00730E55">
        <w:rPr>
          <w:bCs w:val="0"/>
          <w:i w:val="0"/>
          <w:iCs w:val="0"/>
          <w:noProof w:val="0"/>
          <w:sz w:val="19"/>
          <w:szCs w:val="19"/>
          <w:lang w:val="en-AU" w:eastAsia="en-IN"/>
        </w:rPr>
        <w:t xml:space="preserve">Inertial microfluidics, chaotic mixing, curved serpentine microchannel, Dean </w:t>
      </w:r>
      <w:proofErr w:type="gramStart"/>
      <w:r w:rsidR="00730E55" w:rsidRPr="00730E55">
        <w:rPr>
          <w:bCs w:val="0"/>
          <w:i w:val="0"/>
          <w:iCs w:val="0"/>
          <w:noProof w:val="0"/>
          <w:sz w:val="19"/>
          <w:szCs w:val="19"/>
          <w:lang w:val="en-AU" w:eastAsia="en-IN"/>
        </w:rPr>
        <w:t>vortices</w:t>
      </w:r>
      <w:proofErr w:type="gramEnd"/>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4B600F">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p>
    <w:p w:rsidR="00883A50" w:rsidRDefault="00A146AB" w:rsidP="00A146AB">
      <w:pPr>
        <w:jc w:val="both"/>
        <w:rPr>
          <w:sz w:val="19"/>
          <w:szCs w:val="19"/>
          <w:lang w:val="en-IN" w:eastAsia="en-IN"/>
        </w:rPr>
      </w:pPr>
      <w:r>
        <w:rPr>
          <w:sz w:val="19"/>
          <w:szCs w:val="19"/>
          <w:lang w:val="en-AU" w:eastAsia="en-IN"/>
        </w:rPr>
        <w:t xml:space="preserve">Micromixing is a crucial component of microfluidic systems which require </w:t>
      </w:r>
      <w:r w:rsidRPr="00A146AB">
        <w:rPr>
          <w:sz w:val="19"/>
          <w:szCs w:val="19"/>
          <w:lang w:eastAsia="en-IN"/>
        </w:rPr>
        <w:t>mix</w:t>
      </w:r>
      <w:r>
        <w:rPr>
          <w:sz w:val="19"/>
          <w:szCs w:val="19"/>
          <w:lang w:eastAsia="en-IN"/>
        </w:rPr>
        <w:t>ing</w:t>
      </w:r>
      <w:r w:rsidRPr="00A146AB">
        <w:rPr>
          <w:sz w:val="19"/>
          <w:szCs w:val="19"/>
          <w:lang w:eastAsia="en-IN"/>
        </w:rPr>
        <w:t xml:space="preserve"> reagent molecules, fluids, or species for chemical reactions</w:t>
      </w:r>
      <w:r>
        <w:rPr>
          <w:sz w:val="19"/>
          <w:szCs w:val="19"/>
          <w:lang w:eastAsia="en-IN"/>
        </w:rPr>
        <w:t xml:space="preserve"> </w:t>
      </w:r>
      <w:r>
        <w:rPr>
          <w:sz w:val="19"/>
          <w:szCs w:val="19"/>
          <w:lang w:eastAsia="en-IN"/>
        </w:rPr>
        <w:fldChar w:fldCharType="begin"/>
      </w:r>
      <w:r>
        <w:rPr>
          <w:sz w:val="19"/>
          <w:szCs w:val="19"/>
          <w:lang w:eastAsia="en-IN"/>
        </w:rPr>
        <w:instrText xml:space="preserve"> ADDIN EN.CITE &lt;EndNote&gt;&lt;Cite&gt;&lt;Author&gt;Capretto&lt;/Author&gt;&lt;Year&gt;2011&lt;/Year&gt;&lt;RecNum&gt;7&lt;/RecNum&gt;&lt;DisplayText&gt;[1]&lt;/DisplayText&gt;&lt;record&gt;&lt;rec-number&gt;7&lt;/rec-number&gt;&lt;foreign-keys&gt;&lt;key app="EN" db-id="pxtv2xr01p5zajedpay555w9vraf9dpsde0a" timestamp="1539768840"&gt;7&lt;/key&gt;&lt;/foreign-keys&gt;&lt;ref-type name="Book Section"&gt;5&lt;/ref-type&gt;&lt;contributors&gt;&lt;authors&gt;&lt;author&gt;Capretto, Lorenzo&lt;/author&gt;&lt;author&gt;Cheng, Wei&lt;/author&gt;&lt;author&gt;Hill, Martyn&lt;/author&gt;&lt;author&gt;Zhang, Xunli&lt;/author&gt;&lt;/authors&gt;&lt;/contributors&gt;&lt;titles&gt;&lt;title&gt;Micromixing within microfluidic devices&lt;/title&gt;&lt;secondary-title&gt;Microfluidics&lt;/secondary-title&gt;&lt;/titles&gt;&lt;pages&gt;27-68&lt;/pages&gt;&lt;dates&gt;&lt;year&gt;2011&lt;/year&gt;&lt;/dates&gt;&lt;publisher&gt;Springer&lt;/publisher&gt;&lt;urls&gt;&lt;/urls&gt;&lt;/record&gt;&lt;/Cite&gt;&lt;/EndNote&gt;</w:instrText>
      </w:r>
      <w:r>
        <w:rPr>
          <w:sz w:val="19"/>
          <w:szCs w:val="19"/>
          <w:lang w:eastAsia="en-IN"/>
        </w:rPr>
        <w:fldChar w:fldCharType="separate"/>
      </w:r>
      <w:r>
        <w:rPr>
          <w:noProof/>
          <w:sz w:val="19"/>
          <w:szCs w:val="19"/>
          <w:lang w:eastAsia="en-IN"/>
        </w:rPr>
        <w:t>[1]</w:t>
      </w:r>
      <w:r>
        <w:rPr>
          <w:sz w:val="19"/>
          <w:szCs w:val="19"/>
          <w:lang w:eastAsia="en-IN"/>
        </w:rPr>
        <w:fldChar w:fldCharType="end"/>
      </w:r>
      <w:r>
        <w:rPr>
          <w:sz w:val="19"/>
          <w:szCs w:val="19"/>
          <w:lang w:val="en-AU" w:eastAsia="en-IN"/>
        </w:rPr>
        <w:t xml:space="preserve">, which has applications in biomedical systems </w:t>
      </w:r>
      <w:r>
        <w:rPr>
          <w:sz w:val="19"/>
          <w:szCs w:val="19"/>
          <w:lang w:val="en-AU" w:eastAsia="en-IN"/>
        </w:rPr>
        <w:fldChar w:fldCharType="begin"/>
      </w:r>
      <w:r>
        <w:rPr>
          <w:sz w:val="19"/>
          <w:szCs w:val="19"/>
          <w:lang w:val="en-AU" w:eastAsia="en-IN"/>
        </w:rPr>
        <w:instrText xml:space="preserve"> ADDIN EN.CITE &lt;EndNote&gt;&lt;Cite&gt;&lt;Author&gt;Lee&lt;/Author&gt;&lt;Year&gt;2017&lt;/Year&gt;&lt;RecNum&gt;16&lt;/RecNum&gt;&lt;DisplayText&gt;[2]&lt;/DisplayText&gt;&lt;record&gt;&lt;rec-number&gt;16&lt;/rec-number&gt;&lt;foreign-keys&gt;&lt;key app="EN" db-id="pxtv2xr01p5zajedpay555w9vraf9dpsde0a" timestamp="1539863127"&gt;16&lt;/key&gt;&lt;/foreign-keys&gt;&lt;ref-type name="Journal Article"&gt;17&lt;/ref-type&gt;&lt;contributors&gt;&lt;authors&gt;&lt;author&gt;Lee, Chia-Yen&lt;/author&gt;&lt;author&gt;Fu, Lung-Ming&lt;/author&gt;&lt;/authors&gt;&lt;/contributors&gt;&lt;titles&gt;&lt;title&gt;Recent Advances and Applications of Micromixers&lt;/title&gt;&lt;secondary-title&gt;Sensors and Actuators B: Chemical&lt;/secondary-title&gt;&lt;/titles&gt;&lt;periodical&gt;&lt;full-title&gt;Sensors and Actuators B: Chemical&lt;/full-title&gt;&lt;/periodical&gt;&lt;dates&gt;&lt;year&gt;2017&lt;/year&gt;&lt;/dates&gt;&lt;isbn&gt;0925-4005&lt;/isbn&gt;&lt;urls&gt;&lt;/urls&gt;&lt;/record&gt;&lt;/Cite&gt;&lt;/EndNote&gt;</w:instrText>
      </w:r>
      <w:r>
        <w:rPr>
          <w:sz w:val="19"/>
          <w:szCs w:val="19"/>
          <w:lang w:val="en-AU" w:eastAsia="en-IN"/>
        </w:rPr>
        <w:fldChar w:fldCharType="separate"/>
      </w:r>
      <w:r>
        <w:rPr>
          <w:noProof/>
          <w:sz w:val="19"/>
          <w:szCs w:val="19"/>
          <w:lang w:val="en-AU" w:eastAsia="en-IN"/>
        </w:rPr>
        <w:t>[2]</w:t>
      </w:r>
      <w:r>
        <w:rPr>
          <w:sz w:val="19"/>
          <w:szCs w:val="19"/>
          <w:lang w:val="en-AU" w:eastAsia="en-IN"/>
        </w:rPr>
        <w:fldChar w:fldCharType="end"/>
      </w:r>
      <w:r>
        <w:rPr>
          <w:sz w:val="19"/>
          <w:szCs w:val="19"/>
          <w:lang w:val="en-AU" w:eastAsia="en-IN"/>
        </w:rPr>
        <w:t xml:space="preserve">, </w:t>
      </w:r>
      <w:r w:rsidRPr="00972668">
        <w:rPr>
          <w:rFonts w:cstheme="minorHAnsi"/>
          <w:color w:val="000000" w:themeColor="text1"/>
        </w:rPr>
        <w:t>chemical reactors</w:t>
      </w:r>
      <w:r>
        <w:rPr>
          <w:rFonts w:cstheme="minorHAnsi"/>
          <w:color w:val="000000" w:themeColor="text1"/>
        </w:rPr>
        <w:t xml:space="preserve"> </w:t>
      </w:r>
      <w:r>
        <w:rPr>
          <w:rFonts w:cstheme="minorHAnsi"/>
          <w:color w:val="000000" w:themeColor="text1"/>
        </w:rPr>
        <w:fldChar w:fldCharType="begin"/>
      </w:r>
      <w:r>
        <w:rPr>
          <w:rFonts w:cstheme="minorHAnsi"/>
          <w:color w:val="000000" w:themeColor="text1"/>
        </w:rPr>
        <w:instrText xml:space="preserve"> ADDIN EN.CITE &lt;EndNote&gt;&lt;Cite&gt;&lt;Author&gt;Chen&lt;/Author&gt;&lt;Year&gt;2011&lt;/Year&gt;&lt;RecNum&gt;18&lt;/RecNum&gt;&lt;DisplayText&gt;[3]&lt;/DisplayText&gt;&lt;record&gt;&lt;rec-number&gt;18&lt;/rec-number&gt;&lt;foreign-keys&gt;&lt;key app="EN" db-id="pxtv2xr01p5zajedpay555w9vraf9dpsde0a" timestamp="1539864605"&gt;18&lt;/key&gt;&lt;/foreign-keys&gt;&lt;ref-type name="Journal Article"&gt;17&lt;/ref-type&gt;&lt;contributors&gt;&lt;authors&gt;&lt;author&gt;Chen, Yu-Tzu&lt;/author&gt;&lt;author&gt;Chen, Kuan-Hong&lt;/author&gt;&lt;author&gt;Fang, Wei-Feng&lt;/author&gt;&lt;author&gt;Tsai, Sheng-Hung&lt;/author&gt;&lt;author&gt;Fang, Jim-Min&lt;/author&gt;&lt;author&gt;Yang, Jing-Tang&lt;/author&gt;&lt;/authors&gt;&lt;/contributors&gt;&lt;titles&gt;&lt;title&gt;Flash synthesis of carbohydrate derivatives in chaotic microreactors&lt;/title&gt;&lt;secondary-title&gt;Chemical engineering journal&lt;/secondary-title&gt;&lt;/titles&gt;&lt;periodical&gt;&lt;full-title&gt;Chemical Engineering Journal&lt;/full-title&gt;&lt;/periodical&gt;&lt;pages&gt;421-424&lt;/pages&gt;&lt;volume&gt;174&lt;/volume&gt;&lt;number&gt;1&lt;/number&gt;&lt;dates&gt;&lt;year&gt;2011&lt;/year&gt;&lt;/dates&gt;&lt;isbn&gt;1385-8947&lt;/isbn&gt;&lt;urls&gt;&lt;/urls&gt;&lt;/record&gt;&lt;/Cite&gt;&lt;/EndNote&gt;</w:instrText>
      </w:r>
      <w:r>
        <w:rPr>
          <w:rFonts w:cstheme="minorHAnsi"/>
          <w:color w:val="000000" w:themeColor="text1"/>
        </w:rPr>
        <w:fldChar w:fldCharType="separate"/>
      </w:r>
      <w:r>
        <w:rPr>
          <w:rFonts w:cstheme="minorHAnsi"/>
          <w:noProof/>
          <w:color w:val="000000" w:themeColor="text1"/>
        </w:rPr>
        <w:t>[3]</w:t>
      </w:r>
      <w:r>
        <w:rPr>
          <w:rFonts w:cstheme="minorHAnsi"/>
          <w:color w:val="000000" w:themeColor="text1"/>
        </w:rPr>
        <w:fldChar w:fldCharType="end"/>
      </w:r>
      <w:r>
        <w:rPr>
          <w:sz w:val="19"/>
          <w:szCs w:val="19"/>
          <w:lang w:val="en-AU" w:eastAsia="en-IN"/>
        </w:rPr>
        <w:t xml:space="preserve">, and </w:t>
      </w:r>
      <w:r w:rsidRPr="00972668">
        <w:rPr>
          <w:rFonts w:cstheme="minorHAnsi"/>
          <w:color w:val="000000" w:themeColor="text1"/>
        </w:rPr>
        <w:t>polymerization</w:t>
      </w:r>
      <w:r>
        <w:rPr>
          <w:rFonts w:cstheme="minorHAnsi"/>
          <w:color w:val="000000" w:themeColor="text1"/>
        </w:rPr>
        <w:t xml:space="preserve"> </w:t>
      </w:r>
      <w:r>
        <w:rPr>
          <w:rFonts w:cstheme="minorHAnsi"/>
          <w:color w:val="000000" w:themeColor="text1"/>
        </w:rPr>
        <w:fldChar w:fldCharType="begin"/>
      </w:r>
      <w:r>
        <w:rPr>
          <w:rFonts w:cstheme="minorHAnsi"/>
          <w:color w:val="000000" w:themeColor="text1"/>
        </w:rPr>
        <w:instrText xml:space="preserve"> ADDIN EN.CITE &lt;EndNote&gt;&lt;Cite&gt;&lt;Author&gt;Ryu&lt;/Author&gt;&lt;Year&gt;2017&lt;/Year&gt;&lt;RecNum&gt;20&lt;/RecNum&gt;&lt;DisplayText&gt;[4]&lt;/DisplayText&gt;&lt;record&gt;&lt;rec-number&gt;20&lt;/rec-number&gt;&lt;foreign-keys&gt;&lt;key app="EN" db-id="pxtv2xr01p5zajedpay555w9vraf9dpsde0a" timestamp="1539866045"&gt;20&lt;/key&gt;&lt;/foreign-keys&gt;&lt;ref-type name="Journal Article"&gt;17&lt;/ref-type&gt;&lt;contributors&gt;&lt;authors&gt;&lt;author&gt;Ryu, M&lt;/author&gt;&lt;author&gt;Kimber, JA&lt;/author&gt;&lt;author&gt;Sato, T&lt;/author&gt;&lt;author&gt;Nakatani, R&lt;/author&gt;&lt;author&gt;Hayakawa, T&lt;/author&gt;&lt;author&gt;Romano, M&lt;/author&gt;&lt;author&gt;Pradere, C&lt;/author&gt;&lt;author&gt;Hovhannisyan, AA&lt;/author&gt;&lt;author&gt;Kazarian, SG&lt;/author&gt;&lt;author&gt;Morikawa, J&lt;/author&gt;&lt;/authors&gt;&lt;/contributors&gt;&lt;titles&gt;&lt;title&gt;Infrared thermo-spectroscopic imaging of styrene radical polymerization in microfluidics&lt;/title&gt;&lt;secondary-title&gt;Chemical Engineering Journal&lt;/secondary-title&gt;&lt;/titles&gt;&lt;periodical&gt;&lt;full-title&gt;Chemical Engineering Journal&lt;/full-title&gt;&lt;/periodical&gt;&lt;pages&gt;259-265&lt;/pages&gt;&lt;volume&gt;324&lt;/volume&gt;&lt;dates&gt;&lt;year&gt;2017&lt;/year&gt;&lt;/dates&gt;&lt;isbn&gt;1385-8947&lt;/isbn&gt;&lt;urls&gt;&lt;/urls&gt;&lt;/record&gt;&lt;/Cite&gt;&lt;/EndNote&gt;</w:instrText>
      </w:r>
      <w:r>
        <w:rPr>
          <w:rFonts w:cstheme="minorHAnsi"/>
          <w:color w:val="000000" w:themeColor="text1"/>
        </w:rPr>
        <w:fldChar w:fldCharType="separate"/>
      </w:r>
      <w:r>
        <w:rPr>
          <w:rFonts w:cstheme="minorHAnsi"/>
          <w:noProof/>
          <w:color w:val="000000" w:themeColor="text1"/>
        </w:rPr>
        <w:t>[4]</w:t>
      </w:r>
      <w:r>
        <w:rPr>
          <w:rFonts w:cstheme="minorHAnsi"/>
          <w:color w:val="000000" w:themeColor="text1"/>
        </w:rPr>
        <w:fldChar w:fldCharType="end"/>
      </w:r>
      <w:r>
        <w:rPr>
          <w:sz w:val="19"/>
          <w:szCs w:val="19"/>
          <w:lang w:val="en-AU" w:eastAsia="en-IN"/>
        </w:rPr>
        <w:t xml:space="preserve">. </w:t>
      </w:r>
      <w:r w:rsidR="00730E55" w:rsidRPr="00730E55">
        <w:rPr>
          <w:sz w:val="19"/>
          <w:szCs w:val="19"/>
          <w:lang w:val="en-AU" w:eastAsia="en-IN"/>
        </w:rPr>
        <w:t>In this study, three curved serpentine micromixers consisting of ten segments with curvature angles of 180°, 230°, and 280° were fabricated to investigate the effects of curvature angle on inertial micromixing of two fluids. In this regard, water and diluted Rhodamine B solution were pumped into the micromixers ove</w:t>
      </w:r>
      <w:r>
        <w:rPr>
          <w:sz w:val="19"/>
          <w:szCs w:val="19"/>
          <w:lang w:val="en-AU" w:eastAsia="en-IN"/>
        </w:rPr>
        <w:t>r flow rates of 400-3000</w:t>
      </w:r>
      <w:r w:rsidR="004B600F">
        <w:rPr>
          <w:sz w:val="19"/>
          <w:szCs w:val="19"/>
          <w:lang w:val="en-AU" w:eastAsia="en-IN"/>
        </w:rPr>
        <w:t xml:space="preserve">μL/min. </w:t>
      </w:r>
      <w:r w:rsidR="00730E55" w:rsidRPr="00730E55">
        <w:rPr>
          <w:sz w:val="19"/>
          <w:szCs w:val="19"/>
          <w:lang w:val="en-AU" w:eastAsia="en-IN"/>
        </w:rPr>
        <w:t xml:space="preserve">To characterize and compare the mixing performance of the micromixers and to understand the underlying mechanisms, fluorescent intensity maps and mixing </w:t>
      </w:r>
      <w:proofErr w:type="spellStart"/>
      <w:r w:rsidR="00730E55" w:rsidRPr="00730E55">
        <w:rPr>
          <w:sz w:val="19"/>
          <w:szCs w:val="19"/>
          <w:lang w:val="en-AU" w:eastAsia="en-IN"/>
        </w:rPr>
        <w:t>indeces</w:t>
      </w:r>
      <w:proofErr w:type="spellEnd"/>
      <w:r w:rsidR="00730E55" w:rsidRPr="00730E55">
        <w:rPr>
          <w:sz w:val="19"/>
          <w:szCs w:val="19"/>
          <w:lang w:val="en-AU" w:eastAsia="en-IN"/>
        </w:rPr>
        <w:t xml:space="preserve"> were utilized. According to the results, </w:t>
      </w:r>
      <w:r w:rsidR="004B600F" w:rsidRPr="00730E55">
        <w:rPr>
          <w:sz w:val="19"/>
          <w:szCs w:val="19"/>
          <w:lang w:val="en-AU" w:eastAsia="en-IN"/>
        </w:rPr>
        <w:t>up to the Reynolds number of 150</w:t>
      </w:r>
      <w:r w:rsidR="004B600F">
        <w:rPr>
          <w:sz w:val="19"/>
          <w:szCs w:val="19"/>
          <w:lang w:val="en-AU" w:eastAsia="en-IN"/>
        </w:rPr>
        <w:t>,</w:t>
      </w:r>
      <w:r w:rsidR="004B600F" w:rsidRPr="00730E55">
        <w:rPr>
          <w:sz w:val="19"/>
          <w:szCs w:val="19"/>
          <w:lang w:val="en-AU" w:eastAsia="en-IN"/>
        </w:rPr>
        <w:t xml:space="preserve"> </w:t>
      </w:r>
      <w:r w:rsidR="004B600F">
        <w:rPr>
          <w:sz w:val="19"/>
          <w:szCs w:val="19"/>
          <w:lang w:val="en-AU" w:eastAsia="en-IN"/>
        </w:rPr>
        <w:t xml:space="preserve">the mixing performance of the micromixers with curvature angles of 180° and 230° was similar to each other. While </w:t>
      </w:r>
      <w:r w:rsidR="00730E55" w:rsidRPr="00730E55">
        <w:rPr>
          <w:sz w:val="19"/>
          <w:szCs w:val="19"/>
          <w:lang w:val="en-AU" w:eastAsia="en-IN"/>
        </w:rPr>
        <w:t xml:space="preserve">the micromixer having segments with 280° curvature angle </w:t>
      </w:r>
      <w:r w:rsidR="004B600F">
        <w:rPr>
          <w:sz w:val="19"/>
          <w:szCs w:val="19"/>
          <w:lang w:val="en-AU" w:eastAsia="en-IN"/>
        </w:rPr>
        <w:t>showed</w:t>
      </w:r>
      <w:r w:rsidR="00730E55" w:rsidRPr="00730E55">
        <w:rPr>
          <w:sz w:val="19"/>
          <w:szCs w:val="19"/>
          <w:lang w:val="en-AU" w:eastAsia="en-IN"/>
        </w:rPr>
        <w:t xml:space="preserve"> higher mixing index values and thus outperform</w:t>
      </w:r>
      <w:r w:rsidR="004B600F">
        <w:rPr>
          <w:sz w:val="19"/>
          <w:szCs w:val="19"/>
          <w:lang w:val="en-AU" w:eastAsia="en-IN"/>
        </w:rPr>
        <w:t>ed</w:t>
      </w:r>
      <w:r w:rsidR="00730E55" w:rsidRPr="00730E55">
        <w:rPr>
          <w:sz w:val="19"/>
          <w:szCs w:val="19"/>
          <w:lang w:val="en-AU" w:eastAsia="en-IN"/>
        </w:rPr>
        <w:t xml:space="preserve"> the other two micromixers. This </w:t>
      </w:r>
      <w:r w:rsidR="004B600F">
        <w:rPr>
          <w:sz w:val="19"/>
          <w:szCs w:val="19"/>
          <w:lang w:val="en-AU" w:eastAsia="en-IN"/>
        </w:rPr>
        <w:t>was</w:t>
      </w:r>
      <w:r w:rsidR="00730E55" w:rsidRPr="00730E55">
        <w:rPr>
          <w:sz w:val="19"/>
          <w:szCs w:val="19"/>
          <w:lang w:val="en-AU" w:eastAsia="en-IN"/>
        </w:rPr>
        <w:t xml:space="preserve"> due to severe distortion of flow streamlines by Dean </w:t>
      </w:r>
      <w:proofErr w:type="gramStart"/>
      <w:r w:rsidR="00730E55" w:rsidRPr="00730E55">
        <w:rPr>
          <w:sz w:val="19"/>
          <w:szCs w:val="19"/>
          <w:lang w:val="en-AU" w:eastAsia="en-IN"/>
        </w:rPr>
        <w:t>vortices</w:t>
      </w:r>
      <w:proofErr w:type="gramEnd"/>
      <w:r w:rsidR="00730E55" w:rsidRPr="00730E55">
        <w:rPr>
          <w:sz w:val="19"/>
          <w:szCs w:val="19"/>
          <w:lang w:val="en-AU" w:eastAsia="en-IN"/>
        </w:rPr>
        <w:t xml:space="preserve"> and occurrence of chaotic advection. As a consequence, larger contact area </w:t>
      </w:r>
      <w:r w:rsidR="004B600F">
        <w:rPr>
          <w:sz w:val="19"/>
          <w:szCs w:val="19"/>
          <w:lang w:val="en-AU" w:eastAsia="en-IN"/>
        </w:rPr>
        <w:t>was</w:t>
      </w:r>
      <w:r w:rsidR="00730E55" w:rsidRPr="00730E55">
        <w:rPr>
          <w:sz w:val="19"/>
          <w:szCs w:val="19"/>
          <w:lang w:val="en-AU" w:eastAsia="en-IN"/>
        </w:rPr>
        <w:t xml:space="preserve"> available for intermixing. Moreover, as the curvature angle </w:t>
      </w:r>
      <w:r w:rsidR="004B600F">
        <w:rPr>
          <w:sz w:val="19"/>
          <w:szCs w:val="19"/>
          <w:lang w:val="en-AU" w:eastAsia="en-IN"/>
        </w:rPr>
        <w:t>of the mixing segments increased</w:t>
      </w:r>
      <w:r w:rsidR="00730E55" w:rsidRPr="00730E55">
        <w:rPr>
          <w:sz w:val="19"/>
          <w:szCs w:val="19"/>
          <w:lang w:val="en-AU" w:eastAsia="en-IN"/>
        </w:rPr>
        <w:t xml:space="preserve">, the onset of chaotic advection </w:t>
      </w:r>
      <w:r w:rsidR="004B600F">
        <w:rPr>
          <w:sz w:val="19"/>
          <w:szCs w:val="19"/>
          <w:lang w:val="en-AU" w:eastAsia="en-IN"/>
        </w:rPr>
        <w:t>took</w:t>
      </w:r>
      <w:r w:rsidR="00730E55" w:rsidRPr="00730E55">
        <w:rPr>
          <w:sz w:val="19"/>
          <w:szCs w:val="19"/>
          <w:lang w:val="en-AU" w:eastAsia="en-IN"/>
        </w:rPr>
        <w:t xml:space="preserve"> place at a lower Reynolds number, and the micromixer </w:t>
      </w:r>
      <w:r w:rsidR="004B600F">
        <w:rPr>
          <w:sz w:val="19"/>
          <w:szCs w:val="19"/>
          <w:lang w:val="en-AU" w:eastAsia="en-IN"/>
        </w:rPr>
        <w:t>reached</w:t>
      </w:r>
      <w:r w:rsidR="00730E55" w:rsidRPr="00730E55">
        <w:rPr>
          <w:sz w:val="19"/>
          <w:szCs w:val="19"/>
          <w:lang w:val="en-AU" w:eastAsia="en-IN"/>
        </w:rPr>
        <w:t xml:space="preserve"> its ultimate mixing performance earlier. Above the Reynolds number of 170, no difference </w:t>
      </w:r>
      <w:r w:rsidR="004B600F">
        <w:rPr>
          <w:sz w:val="19"/>
          <w:szCs w:val="19"/>
          <w:lang w:val="en-AU" w:eastAsia="en-IN"/>
        </w:rPr>
        <w:t>was</w:t>
      </w:r>
      <w:r w:rsidR="00730E55" w:rsidRPr="00730E55">
        <w:rPr>
          <w:sz w:val="19"/>
          <w:szCs w:val="19"/>
          <w:lang w:val="en-AU" w:eastAsia="en-IN"/>
        </w:rPr>
        <w:t xml:space="preserve"> observed in the mixing performance of the micromixers. In this range, the mixing index at the outlet of the micromixers </w:t>
      </w:r>
      <w:r w:rsidR="004B600F">
        <w:rPr>
          <w:sz w:val="19"/>
          <w:szCs w:val="19"/>
          <w:lang w:val="en-AU" w:eastAsia="en-IN"/>
        </w:rPr>
        <w:t>had</w:t>
      </w:r>
      <w:r w:rsidR="00730E55" w:rsidRPr="00730E55">
        <w:rPr>
          <w:sz w:val="19"/>
          <w:szCs w:val="19"/>
          <w:lang w:val="en-AU" w:eastAsia="en-IN"/>
        </w:rPr>
        <w:t xml:space="preserve"> the asymptotic value of 0.93±0.02. </w:t>
      </w:r>
    </w:p>
    <w:p w:rsidR="00861508" w:rsidRPr="0005164C" w:rsidRDefault="00B33F04" w:rsidP="00883A50">
      <w:pPr>
        <w:numPr>
          <w:ilvl w:val="0"/>
          <w:numId w:val="22"/>
        </w:numPr>
        <w:jc w:val="both"/>
        <w:rPr>
          <w:b/>
          <w:sz w:val="19"/>
          <w:szCs w:val="19"/>
        </w:rPr>
      </w:pPr>
      <w:r>
        <w:rPr>
          <w:noProof/>
        </w:rPr>
        <mc:AlternateContent>
          <mc:Choice Requires="wps">
            <w:drawing>
              <wp:anchor distT="0" distB="0" distL="114300" distR="114300" simplePos="0" relativeHeight="251661312" behindDoc="1" locked="0" layoutInCell="1" allowOverlap="1" wp14:anchorId="4451D458" wp14:editId="124BFB27">
                <wp:simplePos x="0" y="0"/>
                <wp:positionH relativeFrom="column">
                  <wp:posOffset>-1270</wp:posOffset>
                </wp:positionH>
                <wp:positionV relativeFrom="paragraph">
                  <wp:posOffset>2439035</wp:posOffset>
                </wp:positionV>
                <wp:extent cx="3200400" cy="635"/>
                <wp:effectExtent l="0" t="0" r="0" b="0"/>
                <wp:wrapNone/>
                <wp:docPr id="6" name="Text Box 6"/>
                <wp:cNvGraphicFramePr/>
                <a:graphic xmlns:a="http://schemas.openxmlformats.org/drawingml/2006/main">
                  <a:graphicData uri="http://schemas.microsoft.com/office/word/2010/wordprocessingShape">
                    <wps:wsp>
                      <wps:cNvSpPr txBox="1"/>
                      <wps:spPr>
                        <a:xfrm>
                          <a:off x="0" y="0"/>
                          <a:ext cx="3200400" cy="635"/>
                        </a:xfrm>
                        <a:prstGeom prst="rect">
                          <a:avLst/>
                        </a:prstGeom>
                        <a:solidFill>
                          <a:prstClr val="white"/>
                        </a:solidFill>
                        <a:ln>
                          <a:noFill/>
                        </a:ln>
                      </wps:spPr>
                      <wps:txbx>
                        <w:txbxContent>
                          <w:p w:rsidR="00D25CF6" w:rsidRPr="0026181D" w:rsidRDefault="00D25CF6" w:rsidP="0026181D">
                            <w:pPr>
                              <w:pStyle w:val="Caption"/>
                              <w:rPr>
                                <w:rFonts w:eastAsia="MS Mincho"/>
                                <w:noProof/>
                                <w:color w:val="000000" w:themeColor="text1"/>
                                <w:spacing w:val="-1"/>
                                <w:sz w:val="20"/>
                                <w:szCs w:val="20"/>
                              </w:rPr>
                            </w:pPr>
                            <w:r w:rsidRPr="0026181D">
                              <w:rPr>
                                <w:color w:val="000000" w:themeColor="text1"/>
                              </w:rPr>
                              <w:t xml:space="preserve">Figure </w:t>
                            </w:r>
                            <w:r w:rsidRPr="0026181D">
                              <w:rPr>
                                <w:color w:val="000000" w:themeColor="text1"/>
                              </w:rPr>
                              <w:fldChar w:fldCharType="begin"/>
                            </w:r>
                            <w:r w:rsidRPr="0026181D">
                              <w:rPr>
                                <w:color w:val="000000" w:themeColor="text1"/>
                              </w:rPr>
                              <w:instrText xml:space="preserve"> SEQ Figure \* ARABIC </w:instrText>
                            </w:r>
                            <w:r w:rsidRPr="0026181D">
                              <w:rPr>
                                <w:color w:val="000000" w:themeColor="text1"/>
                              </w:rPr>
                              <w:fldChar w:fldCharType="separate"/>
                            </w:r>
                            <w:r w:rsidRPr="0026181D">
                              <w:rPr>
                                <w:noProof/>
                                <w:color w:val="000000" w:themeColor="text1"/>
                              </w:rPr>
                              <w:t>1</w:t>
                            </w:r>
                            <w:r w:rsidRPr="0026181D">
                              <w:rPr>
                                <w:color w:val="000000" w:themeColor="text1"/>
                              </w:rPr>
                              <w:fldChar w:fldCharType="end"/>
                            </w:r>
                            <w:r w:rsidR="0026181D">
                              <w:rPr>
                                <w:color w:val="000000" w:themeColor="text1"/>
                              </w:rPr>
                              <w:t xml:space="preserve">. </w:t>
                            </w:r>
                            <w:bookmarkStart w:id="2" w:name="_Ref534212911"/>
                            <w:r w:rsidR="0026181D" w:rsidRPr="0026181D">
                              <w:rPr>
                                <w:color w:val="000000" w:themeColor="text1"/>
                                <w:lang w:val="en-AU"/>
                              </w:rPr>
                              <w:t xml:space="preserve">The schematic of the micromixers  </w:t>
                            </w:r>
                            <w:r w:rsidR="0026181D" w:rsidRPr="0026181D">
                              <w:rPr>
                                <w:b/>
                                <w:bCs/>
                                <w:color w:val="000000" w:themeColor="text1"/>
                                <w:lang w:val="en-AU"/>
                              </w:rPr>
                              <w:t>(a)</w:t>
                            </w:r>
                            <w:r w:rsidR="0026181D" w:rsidRPr="0026181D">
                              <w:rPr>
                                <w:color w:val="000000" w:themeColor="text1"/>
                                <w:lang w:val="en-AU"/>
                              </w:rPr>
                              <w:t xml:space="preserve"> M180, </w:t>
                            </w:r>
                            <w:r w:rsidR="0026181D" w:rsidRPr="0026181D">
                              <w:rPr>
                                <w:b/>
                                <w:bCs/>
                                <w:color w:val="000000" w:themeColor="text1"/>
                                <w:lang w:val="en-AU"/>
                              </w:rPr>
                              <w:t>(b)</w:t>
                            </w:r>
                            <w:r w:rsidR="0026181D" w:rsidRPr="0026181D">
                              <w:rPr>
                                <w:color w:val="000000" w:themeColor="text1"/>
                                <w:lang w:val="en-AU"/>
                              </w:rPr>
                              <w:t xml:space="preserve"> M230, and </w:t>
                            </w:r>
                            <w:r w:rsidR="0026181D" w:rsidRPr="0026181D">
                              <w:rPr>
                                <w:b/>
                                <w:bCs/>
                                <w:color w:val="000000" w:themeColor="text1"/>
                                <w:lang w:val="en-AU"/>
                              </w:rPr>
                              <w:t>(c)</w:t>
                            </w:r>
                            <w:r w:rsidR="0026181D" w:rsidRPr="0026181D">
                              <w:rPr>
                                <w:color w:val="000000" w:themeColor="text1"/>
                                <w:lang w:val="en-AU"/>
                              </w:rPr>
                              <w:t xml:space="preserve"> M280 and locations of the inlets of water and 0.5mM Rhodamine B in water. Zoomed-in views show the channels width (in orange) and radius of curvature (in red). Green lines indicate the locations, at which mixing index is evaluated. All dimensions are in µm. Scale bar is 5mm.</w:t>
                            </w:r>
                            <w:bookmarkEnd w:id="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451D458" id="_x0000_t202" coordsize="21600,21600" o:spt="202" path="m,l,21600r21600,l21600,xe">
                <v:stroke joinstyle="miter"/>
                <v:path gradientshapeok="t" o:connecttype="rect"/>
              </v:shapetype>
              <v:shape id="Text Box 6" o:spid="_x0000_s1026" type="#_x0000_t202" style="position:absolute;left:0;text-align:left;margin-left:-.1pt;margin-top:192.05pt;width:252pt;height:.0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" stroked="f">
                <v:textbox style="mso-fit-shape-to-text:t" inset="0,0,0,0">
                  <w:txbxContent>
                    <w:p w:rsidR="00D25CF6" w:rsidRPr="0026181D" w:rsidRDefault="00D25CF6" w:rsidP="0026181D">
                      <w:pPr>
                        <w:pStyle w:val="Caption"/>
                        <w:rPr>
                          <w:rFonts w:eastAsia="MS Mincho"/>
                          <w:noProof/>
                          <w:color w:val="000000" w:themeColor="text1"/>
                          <w:spacing w:val="-1"/>
                          <w:sz w:val="20"/>
                          <w:szCs w:val="20"/>
                        </w:rPr>
                      </w:pPr>
                      <w:r w:rsidRPr="0026181D">
                        <w:rPr>
                          <w:color w:val="000000" w:themeColor="text1"/>
                        </w:rPr>
                        <w:t xml:space="preserve">Figure </w:t>
                      </w:r>
                      <w:r w:rsidRPr="0026181D">
                        <w:rPr>
                          <w:color w:val="000000" w:themeColor="text1"/>
                        </w:rPr>
                        <w:fldChar w:fldCharType="begin"/>
                      </w:r>
                      <w:r w:rsidRPr="0026181D">
                        <w:rPr>
                          <w:color w:val="000000" w:themeColor="text1"/>
                        </w:rPr>
                        <w:instrText xml:space="preserve"> SEQ Figure \* ARABIC </w:instrText>
                      </w:r>
                      <w:r w:rsidRPr="0026181D">
                        <w:rPr>
                          <w:color w:val="000000" w:themeColor="text1"/>
                        </w:rPr>
                        <w:fldChar w:fldCharType="separate"/>
                      </w:r>
                      <w:r w:rsidRPr="0026181D">
                        <w:rPr>
                          <w:noProof/>
                          <w:color w:val="000000" w:themeColor="text1"/>
                        </w:rPr>
                        <w:t>1</w:t>
                      </w:r>
                      <w:r w:rsidRPr="0026181D">
                        <w:rPr>
                          <w:color w:val="000000" w:themeColor="text1"/>
                        </w:rPr>
                        <w:fldChar w:fldCharType="end"/>
                      </w:r>
                      <w:r w:rsidR="0026181D">
                        <w:rPr>
                          <w:color w:val="000000" w:themeColor="text1"/>
                        </w:rPr>
                        <w:t xml:space="preserve">. </w:t>
                      </w:r>
                      <w:bookmarkStart w:id="3" w:name="_Ref534212911"/>
                      <w:r w:rsidR="0026181D" w:rsidRPr="0026181D">
                        <w:rPr>
                          <w:color w:val="000000" w:themeColor="text1"/>
                          <w:lang w:val="en-AU"/>
                        </w:rPr>
                        <w:t xml:space="preserve">The schematic of the micromixers  </w:t>
                      </w:r>
                      <w:r w:rsidR="0026181D" w:rsidRPr="0026181D">
                        <w:rPr>
                          <w:b/>
                          <w:bCs/>
                          <w:color w:val="000000" w:themeColor="text1"/>
                          <w:lang w:val="en-AU"/>
                        </w:rPr>
                        <w:t>(a)</w:t>
                      </w:r>
                      <w:r w:rsidR="0026181D" w:rsidRPr="0026181D">
                        <w:rPr>
                          <w:color w:val="000000" w:themeColor="text1"/>
                          <w:lang w:val="en-AU"/>
                        </w:rPr>
                        <w:t xml:space="preserve"> M180, </w:t>
                      </w:r>
                      <w:r w:rsidR="0026181D" w:rsidRPr="0026181D">
                        <w:rPr>
                          <w:b/>
                          <w:bCs/>
                          <w:color w:val="000000" w:themeColor="text1"/>
                          <w:lang w:val="en-AU"/>
                        </w:rPr>
                        <w:t>(b)</w:t>
                      </w:r>
                      <w:r w:rsidR="0026181D" w:rsidRPr="0026181D">
                        <w:rPr>
                          <w:color w:val="000000" w:themeColor="text1"/>
                          <w:lang w:val="en-AU"/>
                        </w:rPr>
                        <w:t xml:space="preserve"> M230, and </w:t>
                      </w:r>
                      <w:r w:rsidR="0026181D" w:rsidRPr="0026181D">
                        <w:rPr>
                          <w:b/>
                          <w:bCs/>
                          <w:color w:val="000000" w:themeColor="text1"/>
                          <w:lang w:val="en-AU"/>
                        </w:rPr>
                        <w:t>(c)</w:t>
                      </w:r>
                      <w:r w:rsidR="0026181D" w:rsidRPr="0026181D">
                        <w:rPr>
                          <w:color w:val="000000" w:themeColor="text1"/>
                          <w:lang w:val="en-AU"/>
                        </w:rPr>
                        <w:t xml:space="preserve"> M280 and locations of the inlets of water and 0.5mM Rhodamine B in water. Zoomed-in views show the channels width (in orange) and radius of curvature (in red). Green lines indicate the locations, at which mixing index is evaluated. All dimensions are in µm. Scale bar is 5mm.</w:t>
                      </w:r>
                      <w:bookmarkEnd w:id="3"/>
                    </w:p>
                  </w:txbxContent>
                </v:textbox>
              </v:shape>
            </w:pict>
          </mc:Fallback>
        </mc:AlternateContent>
      </w:r>
      <w:r w:rsidR="00883A50" w:rsidRPr="00883A50">
        <w:rPr>
          <w:sz w:val="19"/>
          <w:szCs w:val="19"/>
          <w:lang w:val="en-IN" w:eastAsia="en-IN"/>
        </w:rPr>
        <w:t xml:space="preserve"> </w:t>
      </w:r>
      <w:r w:rsidR="00861508" w:rsidRPr="0005164C">
        <w:rPr>
          <w:b/>
          <w:sz w:val="19"/>
          <w:szCs w:val="19"/>
        </w:rPr>
        <w:t>Image:</w:t>
      </w:r>
    </w:p>
    <w:p w:rsidR="003C0794" w:rsidRPr="0005164C" w:rsidRDefault="00D25CF6" w:rsidP="00D25CF6">
      <w:pPr>
        <w:pStyle w:val="BodyText"/>
        <w:ind w:firstLine="0"/>
        <w:jc w:val="left"/>
        <w:rPr>
          <w:sz w:val="19"/>
          <w:szCs w:val="19"/>
        </w:rPr>
      </w:pPr>
      <w:r>
        <w:rPr>
          <w:noProof/>
        </w:rPr>
        <w:drawing>
          <wp:anchor distT="0" distB="0" distL="114300" distR="114300" simplePos="0" relativeHeight="251659264" behindDoc="0" locked="0" layoutInCell="1" allowOverlap="1" wp14:anchorId="6802CA38" wp14:editId="4E14BDC7">
            <wp:simplePos x="0" y="0"/>
            <wp:positionH relativeFrom="column">
              <wp:posOffset>-3429000</wp:posOffset>
            </wp:positionH>
            <wp:positionV relativeFrom="paragraph">
              <wp:posOffset>4685665</wp:posOffset>
            </wp:positionV>
            <wp:extent cx="3200400" cy="228663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3200400" cy="2286635"/>
                    </a:xfrm>
                    <a:prstGeom prst="rect">
                      <a:avLst/>
                    </a:prstGeom>
                  </pic:spPr>
                </pic:pic>
              </a:graphicData>
            </a:graphic>
            <wp14:sizeRelH relativeFrom="page">
              <wp14:pctWidth>0</wp14:pctWidth>
            </wp14:sizeRelH>
            <wp14:sizeRelV relativeFrom="page">
              <wp14:pctHeight>0</wp14:pctHeight>
            </wp14:sizeRelV>
          </wp:anchor>
        </w:drawing>
      </w:r>
    </w:p>
    <w:p w:rsidR="003C0794" w:rsidRDefault="003C0794" w:rsidP="00861508">
      <w:pPr>
        <w:pStyle w:val="BodyText"/>
        <w:numPr>
          <w:ilvl w:val="0"/>
          <w:numId w:val="22"/>
        </w:numPr>
        <w:jc w:val="left"/>
        <w:rPr>
          <w:b/>
          <w:sz w:val="19"/>
          <w:szCs w:val="19"/>
        </w:rPr>
      </w:pPr>
      <w:r w:rsidRPr="0005164C">
        <w:rPr>
          <w:b/>
          <w:sz w:val="19"/>
          <w:szCs w:val="19"/>
        </w:rPr>
        <w:t>Reference:</w:t>
      </w:r>
    </w:p>
    <w:p w:rsidR="00A146AB" w:rsidRPr="00A146AB" w:rsidRDefault="00A146AB" w:rsidP="00A146AB">
      <w:pPr>
        <w:ind w:left="284" w:hanging="284"/>
        <w:jc w:val="both"/>
        <w:rPr>
          <w:sz w:val="19"/>
          <w:szCs w:val="19"/>
          <w:lang w:val="en-AU" w:eastAsia="en-IN"/>
        </w:rPr>
      </w:pPr>
      <w:r>
        <w:rPr>
          <w:sz w:val="19"/>
          <w:szCs w:val="19"/>
          <w:lang w:val="en-AU" w:eastAsia="en-IN"/>
        </w:rPr>
        <w:t xml:space="preserve">[1] </w:t>
      </w:r>
      <w:r w:rsidRPr="00A146AB">
        <w:rPr>
          <w:sz w:val="19"/>
          <w:szCs w:val="19"/>
          <w:lang w:val="en-AU" w:eastAsia="en-IN"/>
        </w:rPr>
        <w:t xml:space="preserve">L. </w:t>
      </w:r>
      <w:proofErr w:type="spellStart"/>
      <w:r w:rsidRPr="00A146AB">
        <w:rPr>
          <w:sz w:val="19"/>
          <w:szCs w:val="19"/>
          <w:lang w:val="en-AU" w:eastAsia="en-IN"/>
        </w:rPr>
        <w:t>Capretto</w:t>
      </w:r>
      <w:proofErr w:type="spellEnd"/>
      <w:r w:rsidRPr="00A146AB">
        <w:rPr>
          <w:sz w:val="19"/>
          <w:szCs w:val="19"/>
          <w:lang w:val="en-AU" w:eastAsia="en-IN"/>
        </w:rPr>
        <w:t xml:space="preserve">, W. Cheng, </w:t>
      </w:r>
      <w:proofErr w:type="gramStart"/>
      <w:r w:rsidRPr="00A146AB">
        <w:rPr>
          <w:sz w:val="19"/>
          <w:szCs w:val="19"/>
          <w:lang w:val="en-AU" w:eastAsia="en-IN"/>
        </w:rPr>
        <w:t>M</w:t>
      </w:r>
      <w:proofErr w:type="gramEnd"/>
      <w:r w:rsidRPr="00A146AB">
        <w:rPr>
          <w:sz w:val="19"/>
          <w:szCs w:val="19"/>
          <w:lang w:val="en-AU" w:eastAsia="en-IN"/>
        </w:rPr>
        <w:t>. Hill, and X. Zhang, "Micromixing within microfluidic devices," in Microfluidics: Springer, 2011, pp. 27-68.</w:t>
      </w:r>
    </w:p>
    <w:p w:rsidR="00A146AB" w:rsidRPr="00A146AB" w:rsidRDefault="00A146AB" w:rsidP="00A146AB">
      <w:pPr>
        <w:ind w:left="284" w:hanging="284"/>
        <w:jc w:val="both"/>
        <w:rPr>
          <w:sz w:val="19"/>
          <w:szCs w:val="19"/>
          <w:lang w:val="en-AU" w:eastAsia="en-IN"/>
        </w:rPr>
      </w:pPr>
      <w:r>
        <w:rPr>
          <w:sz w:val="19"/>
          <w:szCs w:val="19"/>
          <w:lang w:val="en-AU" w:eastAsia="en-IN"/>
        </w:rPr>
        <w:t xml:space="preserve">[2] </w:t>
      </w:r>
      <w:r w:rsidRPr="00A146AB">
        <w:rPr>
          <w:sz w:val="19"/>
          <w:szCs w:val="19"/>
          <w:lang w:val="en-AU" w:eastAsia="en-IN"/>
        </w:rPr>
        <w:t>C.-Y. Lee and L.-M. Fu, "Recent Advances and Applications of Micromixers," Sensors and Actuators B: Chemical, 2017.</w:t>
      </w:r>
    </w:p>
    <w:p w:rsidR="00A146AB" w:rsidRPr="00A146AB" w:rsidRDefault="00A146AB" w:rsidP="00A146AB">
      <w:pPr>
        <w:ind w:left="284" w:hanging="284"/>
        <w:jc w:val="both"/>
        <w:rPr>
          <w:sz w:val="19"/>
          <w:szCs w:val="19"/>
          <w:lang w:val="en-AU" w:eastAsia="en-IN"/>
        </w:rPr>
      </w:pPr>
      <w:r>
        <w:rPr>
          <w:sz w:val="19"/>
          <w:szCs w:val="19"/>
          <w:lang w:val="en-AU" w:eastAsia="en-IN"/>
        </w:rPr>
        <w:t xml:space="preserve">[3] </w:t>
      </w:r>
      <w:r w:rsidRPr="00A146AB">
        <w:rPr>
          <w:sz w:val="19"/>
          <w:szCs w:val="19"/>
          <w:lang w:val="en-AU" w:eastAsia="en-IN"/>
        </w:rPr>
        <w:t xml:space="preserve">Y.-T. Chen, K.-H. Chen, W.-F. Fang, S.-H. Tsai, J.-M. Fang, and J.-T. Yang, "Flash synthesis of carbohydrate derivatives in chaotic </w:t>
      </w:r>
      <w:proofErr w:type="spellStart"/>
      <w:r w:rsidRPr="00A146AB">
        <w:rPr>
          <w:sz w:val="19"/>
          <w:szCs w:val="19"/>
          <w:lang w:val="en-AU" w:eastAsia="en-IN"/>
        </w:rPr>
        <w:t>microreactors</w:t>
      </w:r>
      <w:proofErr w:type="spellEnd"/>
      <w:r w:rsidRPr="00A146AB">
        <w:rPr>
          <w:sz w:val="19"/>
          <w:szCs w:val="19"/>
          <w:lang w:val="en-AU" w:eastAsia="en-IN"/>
        </w:rPr>
        <w:t>," Chemical engineering journal, vol. 174, no. 1, pp. 421-424, 2011.</w:t>
      </w:r>
    </w:p>
    <w:p w:rsidR="00A146AB" w:rsidRPr="00A146AB" w:rsidRDefault="00A146AB" w:rsidP="00A146AB">
      <w:pPr>
        <w:ind w:left="284" w:hanging="284"/>
        <w:jc w:val="both"/>
        <w:rPr>
          <w:sz w:val="19"/>
          <w:szCs w:val="19"/>
          <w:lang w:val="en-AU" w:eastAsia="en-IN"/>
        </w:rPr>
      </w:pPr>
      <w:r>
        <w:rPr>
          <w:sz w:val="19"/>
          <w:szCs w:val="19"/>
          <w:lang w:val="en-AU" w:eastAsia="en-IN"/>
        </w:rPr>
        <w:t xml:space="preserve">[4] </w:t>
      </w:r>
      <w:r w:rsidRPr="00A146AB">
        <w:rPr>
          <w:sz w:val="19"/>
          <w:szCs w:val="19"/>
          <w:lang w:val="en-AU" w:eastAsia="en-IN"/>
        </w:rPr>
        <w:t xml:space="preserve">M. </w:t>
      </w:r>
      <w:proofErr w:type="spellStart"/>
      <w:r w:rsidRPr="00A146AB">
        <w:rPr>
          <w:sz w:val="19"/>
          <w:szCs w:val="19"/>
          <w:lang w:val="en-AU" w:eastAsia="en-IN"/>
        </w:rPr>
        <w:t>Ryu</w:t>
      </w:r>
      <w:proofErr w:type="spellEnd"/>
      <w:r w:rsidRPr="00A146AB">
        <w:rPr>
          <w:sz w:val="19"/>
          <w:szCs w:val="19"/>
          <w:lang w:val="en-AU" w:eastAsia="en-IN"/>
        </w:rPr>
        <w:t xml:space="preserve"> et al., "Infrared thermo-spectroscopic imaging of styrene radical polymerization in microfluidics," Chemical Engineering Journal, vol. 324, pp. 259-265, 2017.</w:t>
      </w:r>
    </w:p>
    <w:p w:rsidR="00861508" w:rsidRPr="0005164C" w:rsidRDefault="00861508" w:rsidP="004227FF">
      <w:pPr>
        <w:numPr>
          <w:ilvl w:val="0"/>
          <w:numId w:val="22"/>
        </w:numPr>
        <w:shd w:val="clear" w:color="auto" w:fill="FFFFFF"/>
        <w:spacing w:before="100" w:beforeAutospacing="1" w:after="120"/>
        <w:jc w:val="left"/>
        <w:rPr>
          <w:b/>
          <w:sz w:val="19"/>
          <w:szCs w:val="19"/>
        </w:rPr>
      </w:pPr>
      <w:bookmarkStart w:id="4" w:name="2"/>
      <w:bookmarkEnd w:id="4"/>
      <w:r w:rsidRPr="0005164C">
        <w:rPr>
          <w:b/>
          <w:sz w:val="19"/>
          <w:szCs w:val="19"/>
          <w:lang w:val="en-IN" w:eastAsia="en-IN"/>
        </w:rPr>
        <w:t>Biography:</w:t>
      </w:r>
    </w:p>
    <w:p w:rsidR="00B33F04" w:rsidRDefault="00B33F04" w:rsidP="00B33F04">
      <w:pPr>
        <w:jc w:val="lowKashida"/>
        <w:rPr>
          <w:sz w:val="19"/>
          <w:szCs w:val="19"/>
        </w:rPr>
      </w:pPr>
      <w:r w:rsidRPr="00B33F04">
        <w:rPr>
          <w:sz w:val="19"/>
          <w:szCs w:val="19"/>
        </w:rPr>
        <w:t xml:space="preserve">Ali </w:t>
      </w:r>
      <w:proofErr w:type="spellStart"/>
      <w:r w:rsidRPr="00B33F04">
        <w:rPr>
          <w:sz w:val="19"/>
          <w:szCs w:val="19"/>
        </w:rPr>
        <w:t>Kosar</w:t>
      </w:r>
      <w:proofErr w:type="spellEnd"/>
      <w:r w:rsidRPr="00B33F04">
        <w:rPr>
          <w:sz w:val="19"/>
          <w:szCs w:val="19"/>
        </w:rPr>
        <w:t xml:space="preserve"> is one of pioneers in the design and development of new generation</w:t>
      </w:r>
      <w:r>
        <w:rPr>
          <w:sz w:val="19"/>
          <w:szCs w:val="19"/>
        </w:rPr>
        <w:t xml:space="preserve"> </w:t>
      </w:r>
      <w:r w:rsidRPr="00B33F04">
        <w:rPr>
          <w:sz w:val="19"/>
          <w:szCs w:val="19"/>
        </w:rPr>
        <w:t>micro heat sinks and microfluidic devices. His research interests constitute a</w:t>
      </w:r>
      <w:r>
        <w:rPr>
          <w:sz w:val="19"/>
          <w:szCs w:val="19"/>
        </w:rPr>
        <w:t xml:space="preserve"> </w:t>
      </w:r>
      <w:r w:rsidRPr="00B33F04">
        <w:rPr>
          <w:sz w:val="19"/>
          <w:szCs w:val="19"/>
        </w:rPr>
        <w:t>wide spectrum covering heat and fluid flow in micro/</w:t>
      </w:r>
      <w:proofErr w:type="spellStart"/>
      <w:r w:rsidRPr="00B33F04">
        <w:rPr>
          <w:sz w:val="19"/>
          <w:szCs w:val="19"/>
        </w:rPr>
        <w:t>nano</w:t>
      </w:r>
      <w:proofErr w:type="spellEnd"/>
      <w:r w:rsidRPr="00B33F04">
        <w:rPr>
          <w:sz w:val="19"/>
          <w:szCs w:val="19"/>
        </w:rPr>
        <w:t xml:space="preserve"> scale, forced</w:t>
      </w:r>
      <w:r>
        <w:rPr>
          <w:sz w:val="19"/>
          <w:szCs w:val="19"/>
        </w:rPr>
        <w:t xml:space="preserve"> </w:t>
      </w:r>
      <w:r w:rsidRPr="00B33F04">
        <w:rPr>
          <w:sz w:val="19"/>
          <w:szCs w:val="19"/>
        </w:rPr>
        <w:t>convection, multi-phase flow, and cavitation. He aims at contributing to the</w:t>
      </w:r>
      <w:r>
        <w:rPr>
          <w:sz w:val="19"/>
          <w:szCs w:val="19"/>
        </w:rPr>
        <w:t xml:space="preserve"> </w:t>
      </w:r>
      <w:r w:rsidRPr="00B33F04">
        <w:rPr>
          <w:sz w:val="19"/>
          <w:szCs w:val="19"/>
        </w:rPr>
        <w:t>literature by removing the lack of information about micro/</w:t>
      </w:r>
      <w:proofErr w:type="spellStart"/>
      <w:r w:rsidRPr="00B33F04">
        <w:rPr>
          <w:sz w:val="19"/>
          <w:szCs w:val="19"/>
        </w:rPr>
        <w:t>nano</w:t>
      </w:r>
      <w:proofErr w:type="spellEnd"/>
      <w:r w:rsidRPr="00B33F04">
        <w:rPr>
          <w:sz w:val="19"/>
          <w:szCs w:val="19"/>
        </w:rPr>
        <w:t xml:space="preserve"> scale heat</w:t>
      </w:r>
      <w:r>
        <w:rPr>
          <w:sz w:val="19"/>
          <w:szCs w:val="19"/>
        </w:rPr>
        <w:t xml:space="preserve"> </w:t>
      </w:r>
      <w:r w:rsidRPr="00B33F04">
        <w:rPr>
          <w:sz w:val="19"/>
          <w:szCs w:val="19"/>
        </w:rPr>
        <w:t>transfer and fluid flow and providing experimental data and design guidelines</w:t>
      </w:r>
      <w:r>
        <w:rPr>
          <w:sz w:val="19"/>
          <w:szCs w:val="19"/>
        </w:rPr>
        <w:t xml:space="preserve"> </w:t>
      </w:r>
      <w:r w:rsidRPr="00B33F04">
        <w:rPr>
          <w:sz w:val="19"/>
          <w:szCs w:val="19"/>
        </w:rPr>
        <w:t>for futuristic cooling and microfluidic system technologies.</w:t>
      </w:r>
      <w:r>
        <w:rPr>
          <w:sz w:val="19"/>
          <w:szCs w:val="19"/>
        </w:rPr>
        <w:t xml:space="preserve"> </w:t>
      </w:r>
      <w:r w:rsidRPr="00B33F04">
        <w:rPr>
          <w:sz w:val="19"/>
          <w:szCs w:val="19"/>
        </w:rPr>
        <w:t>The results of his research have already generated more</w:t>
      </w:r>
      <w:r>
        <w:rPr>
          <w:sz w:val="19"/>
          <w:szCs w:val="19"/>
        </w:rPr>
        <w:t xml:space="preserve"> </w:t>
      </w:r>
      <w:r w:rsidRPr="00B33F04">
        <w:rPr>
          <w:sz w:val="19"/>
          <w:szCs w:val="19"/>
        </w:rPr>
        <w:t>than 100 accepted/publ</w:t>
      </w:r>
      <w:r>
        <w:rPr>
          <w:sz w:val="19"/>
          <w:szCs w:val="19"/>
        </w:rPr>
        <w:t xml:space="preserve">ished journal research articles, </w:t>
      </w:r>
      <w:r w:rsidRPr="00B33F04">
        <w:rPr>
          <w:sz w:val="19"/>
          <w:szCs w:val="19"/>
        </w:rPr>
        <w:t>which have been published</w:t>
      </w:r>
      <w:r>
        <w:rPr>
          <w:sz w:val="19"/>
          <w:szCs w:val="19"/>
        </w:rPr>
        <w:t xml:space="preserve"> </w:t>
      </w:r>
      <w:r w:rsidRPr="00B33F04">
        <w:rPr>
          <w:sz w:val="19"/>
          <w:szCs w:val="19"/>
        </w:rPr>
        <w:t>in prestigious journals</w:t>
      </w:r>
      <w:r>
        <w:rPr>
          <w:sz w:val="19"/>
          <w:szCs w:val="19"/>
        </w:rPr>
        <w:t>.</w:t>
      </w:r>
      <w:bookmarkStart w:id="5" w:name="_GoBack"/>
      <w:bookmarkEnd w:id="5"/>
    </w:p>
    <w:p w:rsidR="00861508" w:rsidRPr="0005164C" w:rsidRDefault="00861508" w:rsidP="005C4898">
      <w:pPr>
        <w:jc w:val="both"/>
        <w:rPr>
          <w:rFonts w:eastAsia="MS PGothic"/>
          <w:b/>
          <w:sz w:val="19"/>
          <w:szCs w:val="19"/>
        </w:rPr>
      </w:pPr>
      <w:r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730E55" w:rsidP="00861508">
      <w:pPr>
        <w:autoSpaceDE w:val="0"/>
        <w:autoSpaceDN w:val="0"/>
        <w:adjustRightInd w:val="0"/>
        <w:jc w:val="left"/>
        <w:rPr>
          <w:sz w:val="19"/>
          <w:szCs w:val="19"/>
          <w:lang w:val="en-NZ"/>
        </w:rPr>
      </w:pPr>
      <w:r>
        <w:rPr>
          <w:noProof/>
        </w:rPr>
        <w:drawing>
          <wp:inline distT="0" distB="0" distL="0" distR="0">
            <wp:extent cx="1394460" cy="1394460"/>
            <wp:effectExtent l="0" t="0" r="0" b="0"/>
            <wp:docPr id="1" name="Picture 1" descr="Ali KoÅ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i KoÅa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4460" cy="1394460"/>
                    </a:xfrm>
                    <a:prstGeom prst="rect">
                      <a:avLst/>
                    </a:prstGeom>
                    <a:noFill/>
                    <a:ln>
                      <a:noFill/>
                    </a:ln>
                  </pic:spPr>
                </pic:pic>
              </a:graphicData>
            </a:graphic>
          </wp:inline>
        </w:drawing>
      </w:r>
      <w:r w:rsidR="00861508" w:rsidRPr="0005164C">
        <w:rPr>
          <w:sz w:val="19"/>
          <w:szCs w:val="19"/>
          <w:lang w:val="en-NZ"/>
        </w:rPr>
        <w:br/>
      </w:r>
    </w:p>
    <w:p w:rsidR="00272C82" w:rsidRPr="00730E55" w:rsidRDefault="00272C82" w:rsidP="00730E55">
      <w:pPr>
        <w:autoSpaceDE w:val="0"/>
        <w:autoSpaceDN w:val="0"/>
        <w:adjustRightInd w:val="0"/>
        <w:jc w:val="left"/>
        <w:rPr>
          <w:sz w:val="19"/>
          <w:szCs w:val="19"/>
          <w:lang w:val="en-NZ"/>
        </w:rPr>
      </w:pPr>
      <w:r w:rsidRPr="0005164C">
        <w:rPr>
          <w:sz w:val="19"/>
          <w:szCs w:val="19"/>
          <w:lang w:val="en-NZ"/>
        </w:rPr>
        <w:t>Full Name:</w:t>
      </w:r>
      <w:r w:rsidR="00730E55">
        <w:rPr>
          <w:sz w:val="19"/>
          <w:szCs w:val="19"/>
          <w:lang w:val="en-NZ"/>
        </w:rPr>
        <w:t xml:space="preserve"> </w:t>
      </w:r>
      <w:r w:rsidR="0026181D">
        <w:rPr>
          <w:sz w:val="19"/>
          <w:szCs w:val="19"/>
          <w:lang w:val="en-NZ"/>
        </w:rPr>
        <w:t xml:space="preserve">Prof. Dr. </w:t>
      </w:r>
      <w:r w:rsidR="00730E55" w:rsidRPr="00730E55">
        <w:rPr>
          <w:sz w:val="19"/>
          <w:szCs w:val="19"/>
          <w:lang w:val="en-NZ"/>
        </w:rPr>
        <w:t>Ali Koşar</w:t>
      </w:r>
    </w:p>
    <w:p w:rsidR="00861508" w:rsidRDefault="00861508" w:rsidP="00B33F04">
      <w:pPr>
        <w:autoSpaceDE w:val="0"/>
        <w:autoSpaceDN w:val="0"/>
        <w:adjustRightInd w:val="0"/>
        <w:jc w:val="left"/>
        <w:rPr>
          <w:sz w:val="19"/>
          <w:szCs w:val="19"/>
          <w:lang w:val="en-NZ"/>
        </w:rPr>
      </w:pPr>
      <w:r w:rsidRPr="0005164C">
        <w:rPr>
          <w:sz w:val="19"/>
          <w:szCs w:val="19"/>
          <w:lang w:val="en-NZ"/>
        </w:rPr>
        <w:t>Contact number:</w:t>
      </w:r>
      <w:r w:rsidR="00730E55">
        <w:rPr>
          <w:sz w:val="19"/>
          <w:szCs w:val="19"/>
          <w:lang w:val="en-NZ"/>
        </w:rPr>
        <w:t xml:space="preserve"> </w:t>
      </w:r>
      <w:r w:rsidR="00730E55" w:rsidRPr="00730E55">
        <w:rPr>
          <w:sz w:val="19"/>
          <w:szCs w:val="19"/>
        </w:rPr>
        <w:t>+90-216-4839621</w:t>
      </w:r>
      <w:r w:rsidRPr="0005164C">
        <w:rPr>
          <w:sz w:val="19"/>
          <w:szCs w:val="19"/>
          <w:lang w:val="en-NZ"/>
        </w:rPr>
        <w:br/>
        <w:t>Linked In account:</w:t>
      </w:r>
      <w:r w:rsidR="00730E55">
        <w:rPr>
          <w:sz w:val="19"/>
          <w:szCs w:val="19"/>
          <w:lang w:val="en-NZ"/>
        </w:rPr>
        <w:t xml:space="preserve"> </w:t>
      </w:r>
      <w:hyperlink r:id="rId7" w:history="1">
        <w:r w:rsidR="00402A4C" w:rsidRPr="00B21946">
          <w:rPr>
            <w:rStyle w:val="Hyperlink"/>
            <w:sz w:val="19"/>
            <w:szCs w:val="19"/>
            <w:lang w:val="en-NZ"/>
          </w:rPr>
          <w:t>https://tr.linkedin.com/in/ali-ko%C5%9Far-84462549</w:t>
        </w:r>
      </w:hyperlink>
    </w:p>
    <w:p w:rsidR="00861508" w:rsidRPr="0005164C" w:rsidRDefault="00861508" w:rsidP="00730E55">
      <w:pPr>
        <w:autoSpaceDE w:val="0"/>
        <w:autoSpaceDN w:val="0"/>
        <w:adjustRightInd w:val="0"/>
        <w:jc w:val="left"/>
        <w:rPr>
          <w:sz w:val="19"/>
          <w:szCs w:val="19"/>
          <w:lang w:val="en-NZ"/>
        </w:rPr>
      </w:pPr>
      <w:r w:rsidRPr="0005164C">
        <w:rPr>
          <w:sz w:val="19"/>
          <w:szCs w:val="19"/>
          <w:lang w:val="en-NZ"/>
        </w:rPr>
        <w:t>S</w:t>
      </w:r>
      <w:r w:rsidR="00730E55">
        <w:rPr>
          <w:sz w:val="19"/>
          <w:szCs w:val="19"/>
          <w:lang w:val="en-NZ"/>
        </w:rPr>
        <w:t>ession name/ number</w:t>
      </w:r>
      <w:proofErr w:type="gramStart"/>
      <w:r w:rsidR="00730E55">
        <w:rPr>
          <w:sz w:val="19"/>
          <w:szCs w:val="19"/>
          <w:lang w:val="en-NZ"/>
        </w:rPr>
        <w:t>:</w:t>
      </w:r>
      <w:proofErr w:type="gramEnd"/>
      <w:r w:rsidR="00730E55">
        <w:rPr>
          <w:sz w:val="19"/>
          <w:szCs w:val="19"/>
          <w:lang w:val="en-NZ"/>
        </w:rPr>
        <w:br/>
        <w:t xml:space="preserve">Category: </w:t>
      </w:r>
      <w:r w:rsidRPr="0005164C">
        <w:rPr>
          <w:sz w:val="19"/>
          <w:szCs w:val="19"/>
          <w:lang w:val="en-NZ"/>
        </w:rPr>
        <w:t>Oral presentation</w:t>
      </w:r>
    </w:p>
    <w:p w:rsidR="00A146AB" w:rsidRDefault="00A146AB" w:rsidP="00861508">
      <w:pPr>
        <w:autoSpaceDE w:val="0"/>
        <w:autoSpaceDN w:val="0"/>
        <w:adjustRightInd w:val="0"/>
        <w:jc w:val="left"/>
        <w:rPr>
          <w:sz w:val="18"/>
          <w:szCs w:val="18"/>
          <w:lang w:val="en-IN"/>
        </w:rPr>
      </w:pPr>
    </w:p>
    <w:p w:rsidR="00861508" w:rsidRPr="0005164C" w:rsidRDefault="00861508" w:rsidP="00A146AB">
      <w:pPr>
        <w:autoSpaceDE w:val="0"/>
        <w:autoSpaceDN w:val="0"/>
        <w:adjustRightInd w:val="0"/>
        <w:jc w:val="left"/>
        <w:rPr>
          <w:sz w:val="18"/>
          <w:szCs w:val="18"/>
          <w:lang w:val="en-NZ"/>
        </w:rPr>
      </w:pP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1"/>
    <w:family w:val="roman"/>
    <w:pitch w:val="variable"/>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0&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tv2xr01p5zajedpay555w9vraf9dpsde0a&quot;&gt;Mixing article&lt;record-ids&gt;&lt;item&gt;7&lt;/item&gt;&lt;item&gt;16&lt;/item&gt;&lt;item&gt;18&lt;/item&gt;&lt;item&gt;20&lt;/item&gt;&lt;/record-ids&gt;&lt;/item&gt;&lt;/Libraries&gt;"/>
  </w:docVars>
  <w:rsids>
    <w:rsidRoot w:val="003A59A6"/>
    <w:rsid w:val="0004390D"/>
    <w:rsid w:val="0005164C"/>
    <w:rsid w:val="000B4641"/>
    <w:rsid w:val="0010711E"/>
    <w:rsid w:val="00127EDD"/>
    <w:rsid w:val="002043C0"/>
    <w:rsid w:val="0026181D"/>
    <w:rsid w:val="00272C82"/>
    <w:rsid w:val="00276735"/>
    <w:rsid w:val="002864A3"/>
    <w:rsid w:val="002B3B81"/>
    <w:rsid w:val="002C130C"/>
    <w:rsid w:val="00351E9B"/>
    <w:rsid w:val="003A47B5"/>
    <w:rsid w:val="003A59A6"/>
    <w:rsid w:val="003C0794"/>
    <w:rsid w:val="003D712D"/>
    <w:rsid w:val="00402A4C"/>
    <w:rsid w:val="004059FE"/>
    <w:rsid w:val="004227FF"/>
    <w:rsid w:val="004445B3"/>
    <w:rsid w:val="004B600F"/>
    <w:rsid w:val="005B520E"/>
    <w:rsid w:val="005B535B"/>
    <w:rsid w:val="005C4898"/>
    <w:rsid w:val="006108A4"/>
    <w:rsid w:val="00663E31"/>
    <w:rsid w:val="006C4648"/>
    <w:rsid w:val="0072064C"/>
    <w:rsid w:val="00730E55"/>
    <w:rsid w:val="007442B3"/>
    <w:rsid w:val="00753F7B"/>
    <w:rsid w:val="0078398E"/>
    <w:rsid w:val="00787C5A"/>
    <w:rsid w:val="007919DE"/>
    <w:rsid w:val="007C0308"/>
    <w:rsid w:val="008014D2"/>
    <w:rsid w:val="008054BC"/>
    <w:rsid w:val="00812538"/>
    <w:rsid w:val="008135C1"/>
    <w:rsid w:val="00841147"/>
    <w:rsid w:val="00861508"/>
    <w:rsid w:val="00883A50"/>
    <w:rsid w:val="008A55B5"/>
    <w:rsid w:val="008A75C8"/>
    <w:rsid w:val="00907876"/>
    <w:rsid w:val="0097508D"/>
    <w:rsid w:val="009D49B8"/>
    <w:rsid w:val="00A146AB"/>
    <w:rsid w:val="00A510F7"/>
    <w:rsid w:val="00AC6519"/>
    <w:rsid w:val="00B33F04"/>
    <w:rsid w:val="00C95D8E"/>
    <w:rsid w:val="00CB1404"/>
    <w:rsid w:val="00CB66E6"/>
    <w:rsid w:val="00D25CF6"/>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CF326A"/>
  <w15:chartTrackingRefBased/>
  <w15:docId w15:val="{0CAE1EFE-3B71-4441-B1A2-80E5856FB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customStyle="1" w:styleId="EndNoteBibliographyTitle">
    <w:name w:val="EndNote Bibliography Title"/>
    <w:basedOn w:val="Normal"/>
    <w:link w:val="EndNoteBibliographyTitleChar"/>
    <w:rsid w:val="00A146AB"/>
    <w:rPr>
      <w:noProof/>
    </w:rPr>
  </w:style>
  <w:style w:type="character" w:customStyle="1" w:styleId="EndNoteBibliographyTitleChar">
    <w:name w:val="EndNote Bibliography Title Char"/>
    <w:basedOn w:val="DefaultParagraphFont"/>
    <w:link w:val="EndNoteBibliographyTitle"/>
    <w:rsid w:val="00A146AB"/>
    <w:rPr>
      <w:rFonts w:ascii="Times New Roman" w:hAnsi="Times New Roman"/>
      <w:noProof/>
    </w:rPr>
  </w:style>
  <w:style w:type="paragraph" w:customStyle="1" w:styleId="EndNoteBibliography">
    <w:name w:val="EndNote Bibliography"/>
    <w:basedOn w:val="Normal"/>
    <w:link w:val="EndNoteBibliographyChar"/>
    <w:rsid w:val="00A146AB"/>
    <w:pPr>
      <w:jc w:val="left"/>
    </w:pPr>
    <w:rPr>
      <w:noProof/>
    </w:rPr>
  </w:style>
  <w:style w:type="character" w:customStyle="1" w:styleId="EndNoteBibliographyChar">
    <w:name w:val="EndNote Bibliography Char"/>
    <w:basedOn w:val="DefaultParagraphFont"/>
    <w:link w:val="EndNoteBibliography"/>
    <w:rsid w:val="00A146AB"/>
    <w:rPr>
      <w:rFonts w:ascii="Times New Roman" w:hAnsi="Times New Roman"/>
      <w:noProof/>
    </w:rPr>
  </w:style>
  <w:style w:type="paragraph" w:styleId="Caption">
    <w:name w:val="caption"/>
    <w:basedOn w:val="Normal"/>
    <w:next w:val="Normal"/>
    <w:uiPriority w:val="35"/>
    <w:unhideWhenUsed/>
    <w:qFormat/>
    <w:rsid w:val="00D25CF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linkedin.com/in/ali-ko%C5%9Far-844625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7321</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Hossein Alijani</cp:lastModifiedBy>
  <cp:revision>6</cp:revision>
  <dcterms:created xsi:type="dcterms:W3CDTF">2019-02-04T22:06:00Z</dcterms:created>
  <dcterms:modified xsi:type="dcterms:W3CDTF">2019-02-07T22:15:00Z</dcterms:modified>
</cp:coreProperties>
</file>