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03F8" w:rsidRPr="00756688" w:rsidRDefault="001A03F8" w:rsidP="001A03F8">
      <w:pPr>
        <w:rPr>
          <w:rFonts w:asciiTheme="minorBidi" w:hAnsiTheme="minorBidi"/>
          <w:b/>
          <w:bCs/>
        </w:rPr>
      </w:pPr>
      <w:r w:rsidRPr="00756688">
        <w:rPr>
          <w:rFonts w:asciiTheme="minorBidi" w:hAnsiTheme="minorBidi"/>
          <w:b/>
          <w:bCs/>
        </w:rPr>
        <w:t xml:space="preserve">Screening cancer therapeutic agents in ex vivo </w:t>
      </w:r>
      <w:r w:rsidR="00E91832">
        <w:rPr>
          <w:rFonts w:asciiTheme="minorBidi" w:hAnsiTheme="minorBidi"/>
          <w:b/>
          <w:bCs/>
        </w:rPr>
        <w:t>controlled microenvironment</w:t>
      </w:r>
      <w:r w:rsidR="00E4714E">
        <w:rPr>
          <w:rFonts w:asciiTheme="minorBidi" w:hAnsiTheme="minorBidi"/>
          <w:b/>
          <w:bCs/>
        </w:rPr>
        <w:t xml:space="preserve"> </w:t>
      </w:r>
      <w:r w:rsidR="00E91832">
        <w:rPr>
          <w:rFonts w:asciiTheme="minorBidi" w:hAnsiTheme="minorBidi"/>
          <w:b/>
          <w:bCs/>
        </w:rPr>
        <w:t>for solid patient tumors</w:t>
      </w:r>
    </w:p>
    <w:p w:rsidR="0049600D" w:rsidRPr="00E4714E" w:rsidRDefault="0049600D" w:rsidP="001A03F8">
      <w:pPr>
        <w:rPr>
          <w:rFonts w:asciiTheme="minorBidi" w:hAnsiTheme="minorBidi"/>
          <w:sz w:val="20"/>
          <w:szCs w:val="20"/>
        </w:rPr>
      </w:pPr>
    </w:p>
    <w:p w:rsidR="001A13E6" w:rsidRPr="00E4714E" w:rsidRDefault="00E4714E" w:rsidP="00E4714E">
      <w:pPr>
        <w:rPr>
          <w:rFonts w:asciiTheme="minorBidi" w:hAnsiTheme="minorBidi"/>
          <w:i/>
          <w:iCs/>
          <w:sz w:val="20"/>
          <w:szCs w:val="20"/>
        </w:rPr>
      </w:pPr>
      <w:r w:rsidRPr="00E4714E">
        <w:rPr>
          <w:rFonts w:asciiTheme="minorBidi" w:hAnsiTheme="minorBidi"/>
          <w:i/>
          <w:iCs/>
          <w:sz w:val="20"/>
          <w:szCs w:val="20"/>
        </w:rPr>
        <w:t xml:space="preserve">Amir R. Aref, </w:t>
      </w:r>
      <w:r w:rsidR="00E91832" w:rsidRPr="00E4714E">
        <w:rPr>
          <w:rFonts w:asciiTheme="minorBidi" w:hAnsiTheme="minorBidi"/>
          <w:i/>
          <w:iCs/>
          <w:sz w:val="20"/>
          <w:szCs w:val="20"/>
        </w:rPr>
        <w:t>Ph. D</w:t>
      </w:r>
    </w:p>
    <w:p w:rsidR="00E4714E" w:rsidRPr="00E4714E" w:rsidRDefault="00E4714E" w:rsidP="00E4714E">
      <w:pPr>
        <w:rPr>
          <w:rFonts w:asciiTheme="minorBidi" w:hAnsiTheme="minorBidi"/>
          <w:i/>
          <w:iCs/>
          <w:sz w:val="20"/>
          <w:szCs w:val="20"/>
        </w:rPr>
      </w:pPr>
      <w:r w:rsidRPr="00E4714E">
        <w:rPr>
          <w:rFonts w:asciiTheme="minorBidi" w:hAnsiTheme="minorBidi"/>
          <w:i/>
          <w:iCs/>
          <w:sz w:val="20"/>
          <w:szCs w:val="20"/>
        </w:rPr>
        <w:t xml:space="preserve">Lead Scientist, </w:t>
      </w:r>
      <w:proofErr w:type="spellStart"/>
      <w:r w:rsidRPr="00E4714E">
        <w:rPr>
          <w:rFonts w:asciiTheme="minorBidi" w:hAnsiTheme="minorBidi"/>
          <w:i/>
          <w:iCs/>
          <w:sz w:val="20"/>
          <w:szCs w:val="20"/>
        </w:rPr>
        <w:t>Belfer</w:t>
      </w:r>
      <w:proofErr w:type="spellEnd"/>
      <w:r w:rsidRPr="00E4714E">
        <w:rPr>
          <w:rFonts w:asciiTheme="minorBidi" w:hAnsiTheme="minorBidi"/>
          <w:i/>
          <w:iCs/>
          <w:sz w:val="20"/>
          <w:szCs w:val="20"/>
        </w:rPr>
        <w:t xml:space="preserve"> Center for Applied Cancer Science</w:t>
      </w:r>
    </w:p>
    <w:p w:rsidR="00E4714E" w:rsidRPr="00E4714E" w:rsidRDefault="00E4714E" w:rsidP="00E4714E">
      <w:pPr>
        <w:rPr>
          <w:rFonts w:asciiTheme="minorBidi" w:hAnsiTheme="minorBidi"/>
          <w:i/>
          <w:iCs/>
          <w:sz w:val="20"/>
          <w:szCs w:val="20"/>
        </w:rPr>
      </w:pPr>
      <w:r w:rsidRPr="00E4714E">
        <w:rPr>
          <w:rFonts w:asciiTheme="minorBidi" w:hAnsiTheme="minorBidi"/>
          <w:i/>
          <w:iCs/>
          <w:sz w:val="20"/>
          <w:szCs w:val="20"/>
        </w:rPr>
        <w:t>Department of Medical Oncology</w:t>
      </w:r>
    </w:p>
    <w:p w:rsidR="00E4714E" w:rsidRPr="00E4714E" w:rsidRDefault="00E4714E" w:rsidP="00E4714E">
      <w:pPr>
        <w:rPr>
          <w:rFonts w:asciiTheme="minorBidi" w:hAnsiTheme="minorBidi"/>
          <w:i/>
          <w:iCs/>
          <w:sz w:val="20"/>
          <w:szCs w:val="20"/>
        </w:rPr>
      </w:pPr>
      <w:r w:rsidRPr="00E4714E">
        <w:rPr>
          <w:rFonts w:asciiTheme="minorBidi" w:hAnsiTheme="minorBidi"/>
          <w:i/>
          <w:iCs/>
          <w:sz w:val="20"/>
          <w:szCs w:val="20"/>
        </w:rPr>
        <w:t>Dana-Farber Cancer Institute</w:t>
      </w:r>
    </w:p>
    <w:p w:rsidR="00E4714E" w:rsidRPr="00E4714E" w:rsidRDefault="00E4714E" w:rsidP="00E4714E">
      <w:pPr>
        <w:rPr>
          <w:rFonts w:asciiTheme="minorBidi" w:hAnsiTheme="minorBidi"/>
          <w:i/>
          <w:iCs/>
          <w:sz w:val="20"/>
          <w:szCs w:val="20"/>
        </w:rPr>
      </w:pPr>
      <w:r w:rsidRPr="00E4714E">
        <w:rPr>
          <w:rFonts w:asciiTheme="minorBidi" w:hAnsiTheme="minorBidi"/>
          <w:i/>
          <w:iCs/>
          <w:sz w:val="20"/>
          <w:szCs w:val="20"/>
        </w:rPr>
        <w:t>Harvard Medical School</w:t>
      </w:r>
    </w:p>
    <w:p w:rsidR="00E4714E" w:rsidRDefault="00E4714E" w:rsidP="00E4714E">
      <w:pPr>
        <w:rPr>
          <w:rFonts w:asciiTheme="minorBidi" w:hAnsiTheme="minorBidi"/>
          <w:i/>
          <w:iCs/>
          <w:sz w:val="22"/>
          <w:szCs w:val="22"/>
        </w:rPr>
      </w:pPr>
    </w:p>
    <w:p w:rsidR="00E4714E" w:rsidRDefault="00E4714E" w:rsidP="00E4714E">
      <w:pPr>
        <w:rPr>
          <w:rFonts w:asciiTheme="minorBidi" w:hAnsiTheme="minorBidi"/>
          <w:i/>
          <w:iCs/>
          <w:sz w:val="22"/>
          <w:szCs w:val="22"/>
        </w:rPr>
      </w:pPr>
    </w:p>
    <w:p w:rsidR="00E4714E" w:rsidRDefault="00E4714E" w:rsidP="00E4714E">
      <w:pPr>
        <w:rPr>
          <w:rFonts w:asciiTheme="minorBidi" w:hAnsiTheme="minorBidi"/>
        </w:rPr>
      </w:pPr>
    </w:p>
    <w:p w:rsidR="001A13E6" w:rsidRPr="001A13E6" w:rsidRDefault="001A13E6">
      <w:pPr>
        <w:rPr>
          <w:rFonts w:asciiTheme="minorBidi" w:hAnsiTheme="minorBidi"/>
          <w:b/>
          <w:bCs/>
        </w:rPr>
      </w:pPr>
      <w:r w:rsidRPr="001A13E6">
        <w:rPr>
          <w:rFonts w:asciiTheme="minorBidi" w:hAnsiTheme="minorBidi"/>
          <w:b/>
          <w:bCs/>
        </w:rPr>
        <w:t>Abstract</w:t>
      </w:r>
    </w:p>
    <w:p w:rsidR="004656CC" w:rsidRDefault="001A13E6" w:rsidP="00731CE7">
      <w:pPr>
        <w:jc w:val="both"/>
        <w:rPr>
          <w:rFonts w:ascii="ArialMT" w:hAnsi="ArialMT" w:cs="ArialMT"/>
          <w:sz w:val="22"/>
          <w:szCs w:val="22"/>
        </w:rPr>
      </w:pPr>
      <w:r w:rsidRPr="003B6CF6">
        <w:rPr>
          <w:rFonts w:ascii="ArialMT" w:hAnsi="ArialMT" w:cs="ArialMT"/>
          <w:sz w:val="22"/>
          <w:szCs w:val="22"/>
        </w:rPr>
        <w:t xml:space="preserve">Personalized cancer medicine is currently focused on knowledge of the cancer mutation repertoire and the tailored application of drugs that target altered genes or pathways in individual patients. Thus, a critical need exists for more sophisticated </w:t>
      </w:r>
      <w:r w:rsidRPr="003B6CF6">
        <w:rPr>
          <w:rFonts w:ascii="Arial-ItalicMT" w:hAnsi="Arial-ItalicMT" w:cs="Arial-ItalicMT"/>
          <w:i/>
          <w:iCs/>
          <w:sz w:val="22"/>
          <w:szCs w:val="22"/>
        </w:rPr>
        <w:t xml:space="preserve">ex vivo </w:t>
      </w:r>
      <w:r w:rsidRPr="003B6CF6">
        <w:rPr>
          <w:rFonts w:ascii="ArialMT" w:hAnsi="ArialMT" w:cs="ArialMT"/>
          <w:sz w:val="22"/>
          <w:szCs w:val="22"/>
        </w:rPr>
        <w:t xml:space="preserve">diagnostic methods that recapitulate human tumor biology and predict response to targeted and immune-based therapies in real-time. We have developed a 3D </w:t>
      </w:r>
      <w:r w:rsidR="00C238DC">
        <w:rPr>
          <w:rFonts w:ascii="ArialMT" w:hAnsi="ArialMT" w:cs="ArialMT"/>
          <w:sz w:val="22"/>
          <w:szCs w:val="22"/>
        </w:rPr>
        <w:t xml:space="preserve">Microfluidic </w:t>
      </w:r>
      <w:bookmarkStart w:id="0" w:name="_GoBack"/>
      <w:bookmarkEnd w:id="0"/>
      <w:r w:rsidR="00E91832">
        <w:rPr>
          <w:rFonts w:ascii="ArialMT" w:hAnsi="ArialMT" w:cs="ArialMT"/>
          <w:sz w:val="22"/>
          <w:szCs w:val="22"/>
        </w:rPr>
        <w:t xml:space="preserve">controlled microenvironment </w:t>
      </w:r>
      <w:r w:rsidRPr="003B6CF6">
        <w:rPr>
          <w:rFonts w:ascii="ArialMT" w:hAnsi="ArialMT" w:cs="ArialMT"/>
          <w:sz w:val="22"/>
          <w:szCs w:val="22"/>
        </w:rPr>
        <w:t>device that consists of two media channels running parallel to and located on either side of an extended, central region containing tumor cell spheroids embedded within an extracellular matrix</w:t>
      </w:r>
      <w:r w:rsidR="00893ED2" w:rsidRPr="003B6CF6">
        <w:rPr>
          <w:rFonts w:ascii="ArialMT" w:hAnsi="ArialMT" w:cs="ArialMT"/>
          <w:sz w:val="22"/>
          <w:szCs w:val="22"/>
          <w:vertAlign w:val="superscript"/>
        </w:rPr>
        <w:t>1</w:t>
      </w:r>
      <w:r w:rsidRPr="003B6CF6">
        <w:rPr>
          <w:rFonts w:ascii="ArialMT" w:hAnsi="ArialMT" w:cs="ArialMT"/>
          <w:sz w:val="22"/>
          <w:szCs w:val="22"/>
        </w:rPr>
        <w:t xml:space="preserve">. </w:t>
      </w:r>
    </w:p>
    <w:p w:rsidR="00731CE7" w:rsidRPr="003B6CF6" w:rsidRDefault="00731CE7" w:rsidP="00731CE7">
      <w:pPr>
        <w:jc w:val="both"/>
        <w:rPr>
          <w:rFonts w:ascii="ArialMT" w:hAnsi="ArialMT" w:cs="ArialMT"/>
          <w:sz w:val="22"/>
          <w:szCs w:val="22"/>
        </w:rPr>
      </w:pPr>
    </w:p>
    <w:p w:rsidR="004656CC" w:rsidRPr="003B6CF6" w:rsidRDefault="004656CC" w:rsidP="00E91832">
      <w:pPr>
        <w:jc w:val="both"/>
        <w:rPr>
          <w:rFonts w:ascii="ArialMT" w:hAnsi="ArialMT" w:cs="ArialMT"/>
          <w:sz w:val="22"/>
          <w:szCs w:val="22"/>
        </w:rPr>
      </w:pPr>
      <w:r w:rsidRPr="003B6CF6">
        <w:rPr>
          <w:rFonts w:ascii="ArialMT" w:hAnsi="ArialMT" w:cs="ArialMT"/>
          <w:sz w:val="22"/>
          <w:szCs w:val="22"/>
        </w:rPr>
        <w:t xml:space="preserve">Here, we demonstrated the ability to interrogate ex </w:t>
      </w:r>
      <w:r w:rsidR="0065515B" w:rsidRPr="003B6CF6">
        <w:rPr>
          <w:rFonts w:ascii="ArialMT" w:hAnsi="ArialMT" w:cs="ArialMT"/>
          <w:sz w:val="22"/>
          <w:szCs w:val="22"/>
        </w:rPr>
        <w:t>vivo</w:t>
      </w:r>
      <w:r w:rsidR="0065515B">
        <w:rPr>
          <w:rFonts w:ascii="ArialMT" w:hAnsi="ArialMT" w:cs="ArialMT"/>
          <w:sz w:val="22"/>
          <w:szCs w:val="22"/>
        </w:rPr>
        <w:t xml:space="preserve"> from</w:t>
      </w:r>
      <w:r w:rsidR="00885001">
        <w:rPr>
          <w:rFonts w:ascii="ArialMT" w:hAnsi="ArialMT" w:cs="ArialMT"/>
          <w:sz w:val="22"/>
          <w:szCs w:val="22"/>
        </w:rPr>
        <w:t xml:space="preserve"> </w:t>
      </w:r>
      <w:r w:rsidR="007E0CF5" w:rsidRPr="003B6CF6">
        <w:rPr>
          <w:rFonts w:ascii="ArialMT" w:hAnsi="ArialMT" w:cs="ArialMT"/>
          <w:sz w:val="22"/>
          <w:szCs w:val="22"/>
        </w:rPr>
        <w:t xml:space="preserve">a Her2 mutant derived from PDX </w:t>
      </w:r>
      <w:r w:rsidR="00C009AD" w:rsidRPr="003B6CF6">
        <w:rPr>
          <w:rFonts w:ascii="ArialMT" w:hAnsi="ArialMT" w:cs="ArialMT"/>
          <w:sz w:val="22"/>
          <w:szCs w:val="22"/>
        </w:rPr>
        <w:t>mo</w:t>
      </w:r>
      <w:r w:rsidR="004F46A7">
        <w:rPr>
          <w:rFonts w:ascii="ArialMT" w:hAnsi="ArialMT" w:cs="ArialMT"/>
          <w:sz w:val="22"/>
          <w:szCs w:val="22"/>
        </w:rPr>
        <w:t xml:space="preserve">del. The results showed that how two Her2-EGRFR inhibitors (Neratinib and </w:t>
      </w:r>
      <w:proofErr w:type="spellStart"/>
      <w:r w:rsidR="004F46A7">
        <w:rPr>
          <w:rFonts w:ascii="ArialMT" w:hAnsi="ArialMT" w:cs="ArialMT"/>
          <w:sz w:val="22"/>
          <w:szCs w:val="22"/>
        </w:rPr>
        <w:t>Afatinib</w:t>
      </w:r>
      <w:proofErr w:type="spellEnd"/>
      <w:r w:rsidR="004F46A7">
        <w:rPr>
          <w:rFonts w:ascii="ArialMT" w:hAnsi="ArialMT" w:cs="ArialMT"/>
          <w:sz w:val="22"/>
          <w:szCs w:val="22"/>
        </w:rPr>
        <w:t xml:space="preserve">) can kill the tumor cells compare to the gefitinib </w:t>
      </w:r>
      <w:r w:rsidR="007B3D64">
        <w:rPr>
          <w:rFonts w:ascii="ArialMT" w:hAnsi="ArialMT" w:cs="ArialMT"/>
          <w:sz w:val="22"/>
          <w:szCs w:val="22"/>
        </w:rPr>
        <w:t>resistance</w:t>
      </w:r>
      <w:r w:rsidR="00E91832">
        <w:rPr>
          <w:rFonts w:ascii="ArialMT" w:hAnsi="ArialMT" w:cs="ArialMT"/>
          <w:sz w:val="22"/>
          <w:szCs w:val="22"/>
        </w:rPr>
        <w:t>, t</w:t>
      </w:r>
      <w:r w:rsidR="007B3D64">
        <w:rPr>
          <w:rFonts w:ascii="ArialMT" w:hAnsi="ArialMT" w:cs="ArialMT"/>
          <w:sz w:val="22"/>
          <w:szCs w:val="22"/>
        </w:rPr>
        <w:t>hen, we tried to use the benefit of combination therapy of</w:t>
      </w:r>
      <w:r w:rsidR="004F46A7">
        <w:rPr>
          <w:rFonts w:ascii="ArialMT" w:hAnsi="ArialMT" w:cs="ArialMT"/>
          <w:sz w:val="22"/>
          <w:szCs w:val="22"/>
        </w:rPr>
        <w:t xml:space="preserve"> Neratinib with Herceptin </w:t>
      </w:r>
      <w:r w:rsidR="007B3D64">
        <w:rPr>
          <w:rFonts w:ascii="ArialMT" w:hAnsi="ArialMT" w:cs="ArialMT"/>
          <w:sz w:val="22"/>
          <w:szCs w:val="22"/>
        </w:rPr>
        <w:t xml:space="preserve">and we </w:t>
      </w:r>
      <w:r w:rsidR="004F46A7">
        <w:rPr>
          <w:rFonts w:ascii="ArialMT" w:hAnsi="ArialMT" w:cs="ArialMT"/>
          <w:sz w:val="22"/>
          <w:szCs w:val="22"/>
        </w:rPr>
        <w:t xml:space="preserve">have </w:t>
      </w:r>
      <w:r w:rsidR="007B3D64">
        <w:rPr>
          <w:rFonts w:ascii="ArialMT" w:hAnsi="ArialMT" w:cs="ArialMT"/>
          <w:sz w:val="22"/>
          <w:szCs w:val="22"/>
        </w:rPr>
        <w:t>confirm</w:t>
      </w:r>
      <w:r w:rsidR="0065515B">
        <w:rPr>
          <w:rFonts w:ascii="ArialMT" w:hAnsi="ArialMT" w:cs="ArialMT"/>
          <w:sz w:val="22"/>
          <w:szCs w:val="22"/>
        </w:rPr>
        <w:t>ed</w:t>
      </w:r>
      <w:r w:rsidR="007B3D64">
        <w:rPr>
          <w:rFonts w:ascii="ArialMT" w:hAnsi="ArialMT" w:cs="ArialMT"/>
          <w:sz w:val="22"/>
          <w:szCs w:val="22"/>
        </w:rPr>
        <w:t xml:space="preserve"> </w:t>
      </w:r>
      <w:r w:rsidR="0065515B">
        <w:rPr>
          <w:rFonts w:ascii="ArialMT" w:hAnsi="ArialMT" w:cs="ArialMT"/>
          <w:sz w:val="22"/>
          <w:szCs w:val="22"/>
        </w:rPr>
        <w:t>the</w:t>
      </w:r>
      <w:r w:rsidR="007B3D64">
        <w:rPr>
          <w:rFonts w:ascii="ArialMT" w:hAnsi="ArialMT" w:cs="ArialMT"/>
          <w:sz w:val="22"/>
          <w:szCs w:val="22"/>
        </w:rPr>
        <w:t xml:space="preserve"> tumor killing ef</w:t>
      </w:r>
      <w:r w:rsidR="00E91832">
        <w:rPr>
          <w:rFonts w:ascii="ArialMT" w:hAnsi="ArialMT" w:cs="ArialMT"/>
          <w:sz w:val="22"/>
          <w:szCs w:val="22"/>
        </w:rPr>
        <w:t>fect by immune fluorescent (IF).</w:t>
      </w:r>
    </w:p>
    <w:p w:rsidR="00893ED2" w:rsidRPr="003B6CF6" w:rsidRDefault="00893ED2" w:rsidP="001A13E6">
      <w:pPr>
        <w:jc w:val="both"/>
        <w:rPr>
          <w:rFonts w:ascii="ArialMT" w:hAnsi="ArialMT" w:cs="ArialMT"/>
          <w:sz w:val="22"/>
          <w:szCs w:val="22"/>
        </w:rPr>
      </w:pPr>
    </w:p>
    <w:p w:rsidR="00731CE7" w:rsidRPr="003B6CF6" w:rsidRDefault="00C009AD" w:rsidP="00E91832">
      <w:pPr>
        <w:jc w:val="both"/>
        <w:rPr>
          <w:rFonts w:ascii="ArialMT" w:hAnsi="ArialMT" w:cs="ArialMT"/>
          <w:sz w:val="22"/>
          <w:szCs w:val="22"/>
        </w:rPr>
      </w:pPr>
      <w:r w:rsidRPr="003B6CF6">
        <w:rPr>
          <w:rFonts w:ascii="ArialMT" w:hAnsi="ArialMT" w:cs="ArialMT"/>
          <w:sz w:val="22"/>
          <w:szCs w:val="22"/>
        </w:rPr>
        <w:t xml:space="preserve">Finally, we have </w:t>
      </w:r>
      <w:r w:rsidR="00893ED2" w:rsidRPr="003B6CF6">
        <w:rPr>
          <w:rFonts w:ascii="ArialMT" w:hAnsi="ArialMT" w:cs="ArialMT"/>
          <w:sz w:val="22"/>
          <w:szCs w:val="22"/>
        </w:rPr>
        <w:t>evaluated</w:t>
      </w:r>
      <w:r w:rsidRPr="003B6CF6">
        <w:rPr>
          <w:rFonts w:ascii="ArialMT" w:hAnsi="ArialMT" w:cs="ArialMT"/>
          <w:sz w:val="22"/>
          <w:szCs w:val="22"/>
        </w:rPr>
        <w:t xml:space="preserve"> patient-derived organotypic tumor spheroids (PDOTS), isolated from non-</w:t>
      </w:r>
      <w:r w:rsidR="00E91832">
        <w:rPr>
          <w:rFonts w:ascii="ArialMT" w:hAnsi="ArialMT" w:cs="ArialMT"/>
          <w:sz w:val="22"/>
          <w:szCs w:val="22"/>
        </w:rPr>
        <w:t>small lung cancer cells, colorectal, pancreatic, melanoma and thyroid patients</w:t>
      </w:r>
      <w:r w:rsidR="009415A3">
        <w:rPr>
          <w:rFonts w:ascii="ArialMT" w:hAnsi="ArialMT" w:cs="ArialMT"/>
          <w:sz w:val="22"/>
          <w:szCs w:val="22"/>
        </w:rPr>
        <w:t xml:space="preserve">. The data showed that how </w:t>
      </w:r>
      <w:r w:rsidR="004F46A7">
        <w:rPr>
          <w:rFonts w:ascii="ArialMT" w:hAnsi="ArialMT" w:cs="ArialMT"/>
          <w:sz w:val="22"/>
          <w:szCs w:val="22"/>
        </w:rPr>
        <w:t xml:space="preserve">the tumor </w:t>
      </w:r>
      <w:r w:rsidR="009415A3">
        <w:rPr>
          <w:rFonts w:ascii="ArialMT" w:hAnsi="ArialMT" w:cs="ArialMT"/>
          <w:sz w:val="22"/>
          <w:szCs w:val="22"/>
        </w:rPr>
        <w:t xml:space="preserve">cells were killed vs immune cells and how the combination therapy works better than the </w:t>
      </w:r>
      <w:r w:rsidR="00E91832">
        <w:rPr>
          <w:rFonts w:ascii="ArialMT" w:hAnsi="ArialMT" w:cs="ArialMT"/>
          <w:sz w:val="22"/>
          <w:szCs w:val="22"/>
        </w:rPr>
        <w:t>single agent</w:t>
      </w:r>
      <w:r w:rsidR="009415A3">
        <w:rPr>
          <w:rFonts w:ascii="ArialMT" w:hAnsi="ArialMT" w:cs="ArialMT"/>
          <w:sz w:val="22"/>
          <w:szCs w:val="22"/>
        </w:rPr>
        <w:t xml:space="preserve"> alone. </w:t>
      </w:r>
      <w:r w:rsidR="003B6CF6" w:rsidRPr="003B6CF6">
        <w:rPr>
          <w:rFonts w:ascii="ArialMT" w:hAnsi="ArialMT" w:cs="ArialMT"/>
          <w:sz w:val="22"/>
          <w:szCs w:val="22"/>
        </w:rPr>
        <w:t xml:space="preserve">Taken together, these data provide the first demonstration that </w:t>
      </w:r>
      <w:r w:rsidR="003B6CF6" w:rsidRPr="003B6CF6">
        <w:rPr>
          <w:rFonts w:ascii="ArialMT" w:hAnsi="ArialMT" w:cs="ArialMT"/>
          <w:i/>
          <w:iCs/>
          <w:sz w:val="22"/>
          <w:szCs w:val="22"/>
        </w:rPr>
        <w:t>ex vivo</w:t>
      </w:r>
      <w:r w:rsidR="003B6CF6" w:rsidRPr="003B6CF6">
        <w:rPr>
          <w:rFonts w:ascii="ArialMT" w:hAnsi="ArialMT" w:cs="ArialMT"/>
          <w:sz w:val="22"/>
          <w:szCs w:val="22"/>
        </w:rPr>
        <w:t xml:space="preserve"> functional tumor killing using PDOTS is feasible and recapitulates key futures of </w:t>
      </w:r>
      <w:r w:rsidR="003B6CF6" w:rsidRPr="003B6CF6">
        <w:rPr>
          <w:rFonts w:ascii="ArialMT" w:hAnsi="ArialMT" w:cs="ArialMT"/>
          <w:i/>
          <w:iCs/>
          <w:sz w:val="22"/>
          <w:szCs w:val="22"/>
        </w:rPr>
        <w:t>in vivo</w:t>
      </w:r>
      <w:r w:rsidR="003B6CF6" w:rsidRPr="003B6CF6">
        <w:rPr>
          <w:rFonts w:ascii="ArialMT" w:hAnsi="ArialMT" w:cs="ArialMT"/>
          <w:sz w:val="22"/>
          <w:szCs w:val="22"/>
        </w:rPr>
        <w:t xml:space="preserve"> response and resistance. In summary, we provide here the first evidence that short-term organotypic tumor spheroid culture can model response to the target therapy and much needed advance given the challenges of testing the massive number of potential combination therapies </w:t>
      </w:r>
      <w:r w:rsidR="003B6CF6" w:rsidRPr="003B6CF6">
        <w:rPr>
          <w:rFonts w:ascii="ArialMT" w:hAnsi="ArialMT" w:cs="ArialMT"/>
          <w:i/>
          <w:iCs/>
          <w:sz w:val="22"/>
          <w:szCs w:val="22"/>
        </w:rPr>
        <w:t>in vivo</w:t>
      </w:r>
      <w:r w:rsidR="003B6CF6" w:rsidRPr="003B6CF6">
        <w:rPr>
          <w:rFonts w:ascii="ArialMT" w:hAnsi="ArialMT" w:cs="ArialMT"/>
          <w:sz w:val="22"/>
          <w:szCs w:val="22"/>
        </w:rPr>
        <w:t>.</w:t>
      </w:r>
      <w:r w:rsidR="00E91832">
        <w:rPr>
          <w:rFonts w:ascii="ArialMT" w:hAnsi="ArialMT" w:cs="ArialMT"/>
          <w:sz w:val="22"/>
          <w:szCs w:val="22"/>
        </w:rPr>
        <w:t xml:space="preserve"> </w:t>
      </w:r>
      <w:r w:rsidR="00731CE7" w:rsidRPr="003B6CF6">
        <w:rPr>
          <w:rFonts w:ascii="ArialMT" w:hAnsi="ArialMT" w:cs="ArialMT"/>
          <w:sz w:val="22"/>
          <w:szCs w:val="22"/>
        </w:rPr>
        <w:t xml:space="preserve">We recently demonstrated the capacity of this system to culture primary human tumor as patient derived organotypic tumor spheroids. Importantly, these spheroids not only contain tumor cells, but also bring with them their unique repertoire of infiltrating immune cells, enabling the capacity to study the phenotypes and function of these immune cell populations cytokine and other responses </w:t>
      </w:r>
      <w:r w:rsidR="00731CE7" w:rsidRPr="003B6CF6">
        <w:rPr>
          <w:rFonts w:ascii="Arial-ItalicMT" w:hAnsi="Arial-ItalicMT" w:cs="Arial-ItalicMT"/>
          <w:i/>
          <w:iCs/>
          <w:sz w:val="22"/>
          <w:szCs w:val="22"/>
        </w:rPr>
        <w:t>ex vivo</w:t>
      </w:r>
      <w:r w:rsidR="00731CE7" w:rsidRPr="00731CE7">
        <w:rPr>
          <w:rFonts w:ascii="Arial-ItalicMT" w:hAnsi="Arial-ItalicMT" w:cs="Arial-ItalicMT"/>
          <w:sz w:val="22"/>
          <w:szCs w:val="22"/>
          <w:vertAlign w:val="superscript"/>
        </w:rPr>
        <w:t>2</w:t>
      </w:r>
      <w:r w:rsidR="00731CE7" w:rsidRPr="003B6CF6">
        <w:rPr>
          <w:rFonts w:ascii="ArialMT" w:hAnsi="ArialMT" w:cs="ArialMT"/>
          <w:sz w:val="22"/>
          <w:szCs w:val="22"/>
        </w:rPr>
        <w:t>.</w:t>
      </w:r>
    </w:p>
    <w:p w:rsidR="004656CC" w:rsidRPr="003B6CF6" w:rsidRDefault="004656CC" w:rsidP="001A13E6">
      <w:pPr>
        <w:jc w:val="both"/>
        <w:rPr>
          <w:rFonts w:ascii="ArialMT" w:hAnsi="ArialMT" w:cs="ArialMT"/>
          <w:sz w:val="22"/>
          <w:szCs w:val="22"/>
        </w:rPr>
      </w:pPr>
    </w:p>
    <w:p w:rsidR="001A03F8" w:rsidRPr="003B6CF6" w:rsidRDefault="001A03F8" w:rsidP="001A13E6">
      <w:pPr>
        <w:jc w:val="both"/>
        <w:rPr>
          <w:rFonts w:asciiTheme="minorBidi" w:hAnsiTheme="minorBidi"/>
          <w:sz w:val="22"/>
          <w:szCs w:val="22"/>
        </w:rPr>
      </w:pPr>
      <w:r w:rsidRPr="003B6CF6">
        <w:rPr>
          <w:rFonts w:asciiTheme="minorBidi" w:hAnsiTheme="minorBidi"/>
          <w:sz w:val="22"/>
          <w:szCs w:val="22"/>
        </w:rPr>
        <w:t>The results of this work should identify new targets for cancer therapeutic agents that prevent metastatic disease and provide a new platform for analyzing candidate anti-metastatic drugs, as well as yield a mechanistic understanding of cell signaling in early metastasis.</w:t>
      </w:r>
    </w:p>
    <w:p w:rsidR="00893ED2" w:rsidRPr="003B6CF6" w:rsidRDefault="00893ED2" w:rsidP="001A13E6">
      <w:pPr>
        <w:jc w:val="both"/>
        <w:rPr>
          <w:rFonts w:asciiTheme="minorBidi" w:hAnsiTheme="minorBidi"/>
          <w:sz w:val="22"/>
          <w:szCs w:val="22"/>
        </w:rPr>
      </w:pPr>
    </w:p>
    <w:p w:rsidR="00893ED2" w:rsidRDefault="00893ED2">
      <w:pPr>
        <w:rPr>
          <w:rFonts w:asciiTheme="minorBidi" w:hAnsiTheme="minorBidi"/>
        </w:rPr>
      </w:pPr>
      <w:r>
        <w:rPr>
          <w:rFonts w:asciiTheme="minorBidi" w:hAnsiTheme="minorBidi"/>
        </w:rPr>
        <w:t>References:</w:t>
      </w:r>
    </w:p>
    <w:p w:rsidR="0065515B" w:rsidRPr="0065515B" w:rsidRDefault="00C238DC" w:rsidP="001F623C">
      <w:pPr>
        <w:pStyle w:val="ListParagraph"/>
        <w:numPr>
          <w:ilvl w:val="0"/>
          <w:numId w:val="1"/>
        </w:numPr>
        <w:rPr>
          <w:rFonts w:asciiTheme="minorBidi" w:hAnsiTheme="minorBidi"/>
        </w:rPr>
      </w:pPr>
      <w:r>
        <w:rPr>
          <w:rFonts w:asciiTheme="minorBidi" w:hAnsiTheme="minorBidi"/>
          <w:i/>
          <w:iCs/>
          <w:sz w:val="22"/>
          <w:szCs w:val="22"/>
        </w:rPr>
        <w:t>Aref, et al; Lab on Chip, 2018</w:t>
      </w:r>
      <w:r w:rsidR="00893ED2" w:rsidRPr="0065515B">
        <w:rPr>
          <w:rFonts w:asciiTheme="minorBidi" w:hAnsiTheme="minorBidi"/>
          <w:i/>
          <w:iCs/>
          <w:sz w:val="22"/>
          <w:szCs w:val="22"/>
        </w:rPr>
        <w:t>.</w:t>
      </w:r>
    </w:p>
    <w:p w:rsidR="00893ED2" w:rsidRPr="0080641D" w:rsidRDefault="00893ED2" w:rsidP="001F623C">
      <w:pPr>
        <w:pStyle w:val="ListParagraph"/>
        <w:numPr>
          <w:ilvl w:val="0"/>
          <w:numId w:val="1"/>
        </w:numPr>
        <w:rPr>
          <w:rFonts w:asciiTheme="minorBidi" w:hAnsiTheme="minorBidi"/>
        </w:rPr>
      </w:pPr>
      <w:r w:rsidRPr="0065515B">
        <w:rPr>
          <w:rFonts w:asciiTheme="minorBidi" w:hAnsiTheme="minorBidi"/>
          <w:i/>
          <w:iCs/>
          <w:sz w:val="22"/>
          <w:szCs w:val="22"/>
        </w:rPr>
        <w:t>Jenkins &amp; Aref et al; Cancer Discovery, 2017.</w:t>
      </w:r>
    </w:p>
    <w:p w:rsidR="0080641D" w:rsidRPr="0080641D" w:rsidRDefault="0080641D" w:rsidP="0080641D">
      <w:pPr>
        <w:rPr>
          <w:rFonts w:asciiTheme="minorBidi" w:hAnsiTheme="minorBidi"/>
        </w:rPr>
      </w:pPr>
    </w:p>
    <w:sectPr w:rsidR="0080641D" w:rsidRPr="00806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D96996"/>
    <w:multiLevelType w:val="hybridMultilevel"/>
    <w:tmpl w:val="7DFCBE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00D"/>
    <w:rsid w:val="001A03F8"/>
    <w:rsid w:val="001A13E6"/>
    <w:rsid w:val="00361C1C"/>
    <w:rsid w:val="003B6CF6"/>
    <w:rsid w:val="004656CC"/>
    <w:rsid w:val="0049600D"/>
    <w:rsid w:val="004F46A7"/>
    <w:rsid w:val="0065515B"/>
    <w:rsid w:val="00731CE7"/>
    <w:rsid w:val="00756688"/>
    <w:rsid w:val="007B3D64"/>
    <w:rsid w:val="007E0CF5"/>
    <w:rsid w:val="0080641D"/>
    <w:rsid w:val="00814244"/>
    <w:rsid w:val="008241E6"/>
    <w:rsid w:val="00885001"/>
    <w:rsid w:val="00893ED2"/>
    <w:rsid w:val="009415A3"/>
    <w:rsid w:val="00C009AD"/>
    <w:rsid w:val="00C238DC"/>
    <w:rsid w:val="00C55EF2"/>
    <w:rsid w:val="00E35063"/>
    <w:rsid w:val="00E4714E"/>
    <w:rsid w:val="00E91832"/>
    <w:rsid w:val="00EB1FDF"/>
    <w:rsid w:val="00FA01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6E982"/>
  <w15:chartTrackingRefBased/>
  <w15:docId w15:val="{1A0D4626-0925-4164-A1B5-DB90371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600D"/>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ED2"/>
    <w:pPr>
      <w:ind w:left="720"/>
      <w:contextualSpacing/>
    </w:pPr>
  </w:style>
  <w:style w:type="paragraph" w:styleId="NormalWeb">
    <w:name w:val="Normal (Web)"/>
    <w:basedOn w:val="Normal"/>
    <w:uiPriority w:val="99"/>
    <w:semiHidden/>
    <w:unhideWhenUsed/>
    <w:rsid w:val="0080641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733276">
      <w:bodyDiv w:val="1"/>
      <w:marLeft w:val="0"/>
      <w:marRight w:val="0"/>
      <w:marTop w:val="0"/>
      <w:marBottom w:val="0"/>
      <w:divBdr>
        <w:top w:val="none" w:sz="0" w:space="0" w:color="auto"/>
        <w:left w:val="none" w:sz="0" w:space="0" w:color="auto"/>
        <w:bottom w:val="none" w:sz="0" w:space="0" w:color="auto"/>
        <w:right w:val="none" w:sz="0" w:space="0" w:color="auto"/>
      </w:divBdr>
    </w:div>
    <w:div w:id="316960753">
      <w:bodyDiv w:val="1"/>
      <w:marLeft w:val="0"/>
      <w:marRight w:val="0"/>
      <w:marTop w:val="0"/>
      <w:marBottom w:val="0"/>
      <w:divBdr>
        <w:top w:val="none" w:sz="0" w:space="0" w:color="auto"/>
        <w:left w:val="none" w:sz="0" w:space="0" w:color="auto"/>
        <w:bottom w:val="none" w:sz="0" w:space="0" w:color="auto"/>
        <w:right w:val="none" w:sz="0" w:space="0" w:color="auto"/>
      </w:divBdr>
    </w:div>
    <w:div w:id="1544361821">
      <w:bodyDiv w:val="1"/>
      <w:marLeft w:val="0"/>
      <w:marRight w:val="0"/>
      <w:marTop w:val="0"/>
      <w:marBottom w:val="0"/>
      <w:divBdr>
        <w:top w:val="none" w:sz="0" w:space="0" w:color="auto"/>
        <w:left w:val="none" w:sz="0" w:space="0" w:color="auto"/>
        <w:bottom w:val="none" w:sz="0" w:space="0" w:color="auto"/>
        <w:right w:val="none" w:sz="0" w:space="0" w:color="auto"/>
      </w:divBdr>
      <w:divsChild>
        <w:div w:id="493686216">
          <w:marLeft w:val="0"/>
          <w:marRight w:val="0"/>
          <w:marTop w:val="0"/>
          <w:marBottom w:val="0"/>
          <w:divBdr>
            <w:top w:val="none" w:sz="0" w:space="0" w:color="auto"/>
            <w:left w:val="none" w:sz="0" w:space="0" w:color="auto"/>
            <w:bottom w:val="none" w:sz="0" w:space="0" w:color="auto"/>
            <w:right w:val="none" w:sz="0" w:space="0" w:color="auto"/>
          </w:divBdr>
        </w:div>
        <w:div w:id="993871348">
          <w:marLeft w:val="0"/>
          <w:marRight w:val="0"/>
          <w:marTop w:val="0"/>
          <w:marBottom w:val="0"/>
          <w:divBdr>
            <w:top w:val="none" w:sz="0" w:space="0" w:color="auto"/>
            <w:left w:val="none" w:sz="0" w:space="0" w:color="auto"/>
            <w:bottom w:val="none" w:sz="0" w:space="0" w:color="auto"/>
            <w:right w:val="none" w:sz="0" w:space="0" w:color="auto"/>
          </w:divBdr>
        </w:div>
        <w:div w:id="902836420">
          <w:marLeft w:val="0"/>
          <w:marRight w:val="0"/>
          <w:marTop w:val="0"/>
          <w:marBottom w:val="0"/>
          <w:divBdr>
            <w:top w:val="none" w:sz="0" w:space="0" w:color="auto"/>
            <w:left w:val="none" w:sz="0" w:space="0" w:color="auto"/>
            <w:bottom w:val="none" w:sz="0" w:space="0" w:color="auto"/>
            <w:right w:val="none" w:sz="0" w:space="0" w:color="auto"/>
          </w:divBdr>
        </w:div>
        <w:div w:id="1534270523">
          <w:marLeft w:val="0"/>
          <w:marRight w:val="0"/>
          <w:marTop w:val="0"/>
          <w:marBottom w:val="0"/>
          <w:divBdr>
            <w:top w:val="none" w:sz="0" w:space="0" w:color="auto"/>
            <w:left w:val="none" w:sz="0" w:space="0" w:color="auto"/>
            <w:bottom w:val="none" w:sz="0" w:space="0" w:color="auto"/>
            <w:right w:val="none" w:sz="0" w:space="0" w:color="auto"/>
          </w:divBdr>
        </w:div>
        <w:div w:id="390806752">
          <w:marLeft w:val="0"/>
          <w:marRight w:val="0"/>
          <w:marTop w:val="0"/>
          <w:marBottom w:val="0"/>
          <w:divBdr>
            <w:top w:val="none" w:sz="0" w:space="0" w:color="auto"/>
            <w:left w:val="none" w:sz="0" w:space="0" w:color="auto"/>
            <w:bottom w:val="none" w:sz="0" w:space="0" w:color="auto"/>
            <w:right w:val="none" w:sz="0" w:space="0" w:color="auto"/>
          </w:divBdr>
        </w:div>
        <w:div w:id="1772162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Aref, Amir Reza,Ph.D.</dc:creator>
  <cp:keywords/>
  <dc:description/>
  <cp:lastModifiedBy>Aref, Amir Reza,Ph.D.</cp:lastModifiedBy>
  <cp:revision>4</cp:revision>
  <dcterms:created xsi:type="dcterms:W3CDTF">2018-06-12T19:56:00Z</dcterms:created>
  <dcterms:modified xsi:type="dcterms:W3CDTF">2018-11-09T14:58:00Z</dcterms:modified>
</cp:coreProperties>
</file>