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913" w:rsidRPr="00A65C26" w:rsidRDefault="00E95913" w:rsidP="00A65C26">
      <w:pPr>
        <w:spacing w:line="276" w:lineRule="auto"/>
        <w:ind w:right="-90"/>
        <w:jc w:val="both"/>
        <w:rPr>
          <w:rFonts w:asciiTheme="majorBidi" w:hAnsiTheme="majorBidi" w:cstheme="majorBidi"/>
          <w:b/>
          <w:bCs/>
          <w:color w:val="333333"/>
          <w:sz w:val="24"/>
          <w:szCs w:val="24"/>
        </w:rPr>
      </w:pPr>
      <w:r w:rsidRPr="00A65C26">
        <w:rPr>
          <w:rFonts w:asciiTheme="majorBidi" w:hAnsiTheme="majorBidi" w:cstheme="majorBidi"/>
          <w:b/>
          <w:bCs/>
          <w:color w:val="333333"/>
          <w:sz w:val="24"/>
          <w:szCs w:val="24"/>
        </w:rPr>
        <w:t>Associations between </w:t>
      </w:r>
      <w:r w:rsidRPr="00A65C26">
        <w:rPr>
          <w:rFonts w:asciiTheme="majorBidi" w:hAnsiTheme="majorBidi" w:cstheme="majorBidi"/>
          <w:b/>
          <w:bCs/>
          <w:i/>
          <w:iCs/>
          <w:color w:val="333333"/>
          <w:sz w:val="24"/>
          <w:szCs w:val="24"/>
        </w:rPr>
        <w:t>FTO</w:t>
      </w:r>
      <w:r w:rsidRPr="00A65C26">
        <w:rPr>
          <w:rFonts w:asciiTheme="majorBidi" w:hAnsiTheme="majorBidi" w:cstheme="majorBidi"/>
          <w:b/>
          <w:bCs/>
          <w:color w:val="333333"/>
          <w:sz w:val="24"/>
          <w:szCs w:val="24"/>
        </w:rPr>
        <w:t> rs9939609 polymorphism, serum vitamin D, mental health, and eating behaviors in overweight adults</w:t>
      </w:r>
    </w:p>
    <w:p w:rsidR="00E95913" w:rsidRPr="00A65C26" w:rsidRDefault="00E95913" w:rsidP="00A65C26">
      <w:pPr>
        <w:spacing w:line="276" w:lineRule="auto"/>
        <w:ind w:right="-90"/>
        <w:jc w:val="both"/>
        <w:rPr>
          <w:rFonts w:asciiTheme="majorBidi" w:hAnsiTheme="majorBidi" w:cstheme="majorBidi"/>
          <w:b/>
          <w:bCs/>
          <w:sz w:val="24"/>
          <w:szCs w:val="24"/>
        </w:rPr>
      </w:pPr>
      <w:r w:rsidRPr="00A65C26">
        <w:rPr>
          <w:rFonts w:asciiTheme="majorBidi" w:hAnsiTheme="majorBidi" w:cstheme="majorBidi"/>
          <w:b/>
          <w:bCs/>
          <w:sz w:val="24"/>
          <w:szCs w:val="24"/>
        </w:rPr>
        <w:t xml:space="preserve">Running title: </w:t>
      </w:r>
      <w:r w:rsidRPr="00A65C26">
        <w:rPr>
          <w:rFonts w:asciiTheme="majorBidi" w:hAnsiTheme="majorBidi" w:cstheme="majorBidi"/>
          <w:b/>
          <w:bCs/>
          <w:i/>
          <w:iCs/>
          <w:sz w:val="24"/>
          <w:szCs w:val="24"/>
        </w:rPr>
        <w:t>FTO</w:t>
      </w:r>
      <w:r w:rsidRPr="00A65C26">
        <w:rPr>
          <w:rFonts w:asciiTheme="majorBidi" w:hAnsiTheme="majorBidi" w:cstheme="majorBidi"/>
          <w:b/>
          <w:bCs/>
          <w:sz w:val="24"/>
          <w:szCs w:val="24"/>
        </w:rPr>
        <w:t xml:space="preserve"> genotype association with psychological aspects</w:t>
      </w:r>
    </w:p>
    <w:p w:rsidR="00E95913" w:rsidRPr="00A65C26" w:rsidRDefault="00E95913" w:rsidP="00A65C26">
      <w:pPr>
        <w:spacing w:line="276" w:lineRule="auto"/>
        <w:ind w:right="-90"/>
        <w:jc w:val="both"/>
        <w:rPr>
          <w:rFonts w:asciiTheme="majorBidi" w:hAnsiTheme="majorBidi" w:cstheme="majorBidi"/>
          <w:b/>
          <w:bCs/>
          <w:sz w:val="24"/>
          <w:szCs w:val="24"/>
          <w:vertAlign w:val="superscript"/>
        </w:rPr>
      </w:pPr>
      <w:proofErr w:type="spellStart"/>
      <w:r w:rsidRPr="00A65C26">
        <w:rPr>
          <w:rFonts w:asciiTheme="majorBidi" w:hAnsiTheme="majorBidi" w:cstheme="majorBidi"/>
          <w:sz w:val="24"/>
          <w:szCs w:val="24"/>
        </w:rPr>
        <w:t>Mahsa</w:t>
      </w:r>
      <w:proofErr w:type="spellEnd"/>
      <w:r w:rsidRPr="00A65C26">
        <w:rPr>
          <w:rFonts w:asciiTheme="majorBidi" w:hAnsiTheme="majorBidi" w:cstheme="majorBidi"/>
          <w:sz w:val="24"/>
          <w:szCs w:val="24"/>
        </w:rPr>
        <w:t xml:space="preserve"> Mehrdad</w:t>
      </w:r>
      <w:r w:rsidRPr="00A65C26">
        <w:rPr>
          <w:rFonts w:asciiTheme="majorBidi" w:hAnsiTheme="majorBidi" w:cstheme="majorBidi"/>
          <w:sz w:val="24"/>
          <w:szCs w:val="24"/>
          <w:vertAlign w:val="superscript"/>
        </w:rPr>
        <w:t>1</w:t>
      </w:r>
      <w:r w:rsidRPr="00A65C26">
        <w:rPr>
          <w:rFonts w:asciiTheme="majorBidi" w:hAnsiTheme="majorBidi" w:cstheme="majorBidi"/>
          <w:sz w:val="24"/>
          <w:szCs w:val="24"/>
        </w:rPr>
        <w:t>, Mohammad Hassan Eftekhari</w:t>
      </w:r>
      <w:r w:rsidRPr="00A65C26">
        <w:rPr>
          <w:rFonts w:asciiTheme="majorBidi" w:hAnsiTheme="majorBidi" w:cstheme="majorBidi"/>
          <w:sz w:val="24"/>
          <w:szCs w:val="24"/>
          <w:vertAlign w:val="superscript"/>
        </w:rPr>
        <w:t>2*</w:t>
      </w:r>
      <w:r w:rsidRPr="00A65C26">
        <w:rPr>
          <w:rFonts w:asciiTheme="majorBidi" w:hAnsiTheme="majorBidi" w:cstheme="majorBidi"/>
          <w:sz w:val="24"/>
          <w:szCs w:val="24"/>
        </w:rPr>
        <w:t xml:space="preserve">, </w:t>
      </w:r>
      <w:proofErr w:type="spellStart"/>
      <w:r w:rsidRPr="00A65C26">
        <w:rPr>
          <w:rFonts w:asciiTheme="majorBidi" w:hAnsiTheme="majorBidi" w:cstheme="majorBidi"/>
          <w:sz w:val="24"/>
          <w:szCs w:val="24"/>
        </w:rPr>
        <w:t>Fatemeh</w:t>
      </w:r>
      <w:proofErr w:type="spellEnd"/>
      <w:r w:rsidRPr="00A65C26">
        <w:rPr>
          <w:rFonts w:asciiTheme="majorBidi" w:hAnsiTheme="majorBidi" w:cstheme="majorBidi"/>
          <w:sz w:val="24"/>
          <w:szCs w:val="24"/>
        </w:rPr>
        <w:t xml:space="preserve"> Jafari</w:t>
      </w:r>
      <w:r w:rsidRPr="00A65C26">
        <w:rPr>
          <w:rFonts w:asciiTheme="majorBidi" w:hAnsiTheme="majorBidi" w:cstheme="majorBidi"/>
          <w:sz w:val="24"/>
          <w:szCs w:val="24"/>
          <w:vertAlign w:val="superscript"/>
        </w:rPr>
        <w:t>2, 3</w:t>
      </w:r>
      <w:r w:rsidRPr="00A65C26">
        <w:rPr>
          <w:rFonts w:asciiTheme="majorBidi" w:hAnsiTheme="majorBidi" w:cstheme="majorBidi"/>
          <w:sz w:val="24"/>
          <w:szCs w:val="24"/>
        </w:rPr>
        <w:t>,</w:t>
      </w:r>
      <w:r w:rsidRPr="00A65C26">
        <w:rPr>
          <w:rFonts w:asciiTheme="majorBidi" w:hAnsiTheme="majorBidi" w:cstheme="majorBidi"/>
          <w:b/>
          <w:bCs/>
          <w:sz w:val="24"/>
          <w:szCs w:val="24"/>
        </w:rPr>
        <w:t xml:space="preserve"> </w:t>
      </w:r>
      <w:proofErr w:type="spellStart"/>
      <w:r w:rsidRPr="00A65C26">
        <w:rPr>
          <w:rFonts w:asciiTheme="majorBidi" w:hAnsiTheme="majorBidi" w:cstheme="majorBidi"/>
          <w:sz w:val="24"/>
          <w:szCs w:val="24"/>
        </w:rPr>
        <w:t>Hossein</w:t>
      </w:r>
      <w:proofErr w:type="spellEnd"/>
      <w:r w:rsidRPr="00A65C26">
        <w:rPr>
          <w:rFonts w:asciiTheme="majorBidi" w:hAnsiTheme="majorBidi" w:cstheme="majorBidi"/>
          <w:sz w:val="24"/>
          <w:szCs w:val="24"/>
        </w:rPr>
        <w:t>-Ali Nikbakht</w:t>
      </w:r>
      <w:r w:rsidRPr="00A65C26">
        <w:rPr>
          <w:rFonts w:asciiTheme="majorBidi" w:hAnsiTheme="majorBidi" w:cstheme="majorBidi"/>
          <w:sz w:val="24"/>
          <w:szCs w:val="24"/>
          <w:vertAlign w:val="superscript"/>
        </w:rPr>
        <w:t>4</w:t>
      </w:r>
      <w:r w:rsidRPr="00A65C26">
        <w:rPr>
          <w:rFonts w:asciiTheme="majorBidi" w:hAnsiTheme="majorBidi" w:cstheme="majorBidi"/>
          <w:sz w:val="24"/>
          <w:szCs w:val="24"/>
        </w:rPr>
        <w:t xml:space="preserve">, </w:t>
      </w:r>
      <w:proofErr w:type="spellStart"/>
      <w:r w:rsidRPr="00A65C26">
        <w:rPr>
          <w:rFonts w:asciiTheme="majorBidi" w:hAnsiTheme="majorBidi" w:cstheme="majorBidi"/>
          <w:sz w:val="24"/>
          <w:szCs w:val="24"/>
        </w:rPr>
        <w:t>Maryam</w:t>
      </w:r>
      <w:proofErr w:type="spellEnd"/>
      <w:r w:rsidRPr="00A65C26">
        <w:rPr>
          <w:rFonts w:asciiTheme="majorBidi" w:hAnsiTheme="majorBidi" w:cstheme="majorBidi"/>
          <w:sz w:val="24"/>
          <w:szCs w:val="24"/>
        </w:rPr>
        <w:t xml:space="preserve"> Gholamalizadeh</w:t>
      </w:r>
      <w:r w:rsidRPr="00A65C26">
        <w:rPr>
          <w:rFonts w:asciiTheme="majorBidi" w:hAnsiTheme="majorBidi" w:cstheme="majorBidi"/>
          <w:sz w:val="24"/>
          <w:szCs w:val="24"/>
          <w:vertAlign w:val="superscript"/>
        </w:rPr>
        <w:t>5</w:t>
      </w:r>
    </w:p>
    <w:p w:rsidR="00E95913" w:rsidRPr="00A65C26" w:rsidRDefault="00E95913" w:rsidP="00A65C26">
      <w:pPr>
        <w:pStyle w:val="ListParagraph"/>
        <w:numPr>
          <w:ilvl w:val="0"/>
          <w:numId w:val="1"/>
        </w:numPr>
        <w:spacing w:after="200" w:line="276" w:lineRule="auto"/>
        <w:ind w:right="-90"/>
        <w:jc w:val="both"/>
        <w:rPr>
          <w:rFonts w:asciiTheme="majorBidi" w:hAnsiTheme="majorBidi" w:cstheme="majorBidi"/>
          <w:sz w:val="24"/>
          <w:szCs w:val="24"/>
          <w:lang w:bidi="fa-IR"/>
        </w:rPr>
      </w:pPr>
      <w:r w:rsidRPr="00A65C26">
        <w:rPr>
          <w:rFonts w:asciiTheme="majorBidi" w:hAnsiTheme="majorBidi" w:cstheme="majorBidi"/>
          <w:sz w:val="24"/>
          <w:szCs w:val="24"/>
          <w:lang w:bidi="fa-IR"/>
        </w:rPr>
        <w:t>Department of Clinical Nutrition, School of Nutrition &amp; food Sciences, Shiraz University of Medical Sciences, Shiraz, Iran</w:t>
      </w:r>
    </w:p>
    <w:p w:rsidR="00E95913" w:rsidRPr="00A65C26" w:rsidRDefault="00E95913" w:rsidP="00A65C26">
      <w:pPr>
        <w:pStyle w:val="ListParagraph"/>
        <w:numPr>
          <w:ilvl w:val="0"/>
          <w:numId w:val="1"/>
        </w:numPr>
        <w:spacing w:after="200" w:line="276" w:lineRule="auto"/>
        <w:ind w:right="-90"/>
        <w:jc w:val="both"/>
        <w:rPr>
          <w:rFonts w:asciiTheme="majorBidi" w:hAnsiTheme="majorBidi" w:cstheme="majorBidi"/>
          <w:sz w:val="24"/>
          <w:szCs w:val="24"/>
          <w:lang w:bidi="fa-IR"/>
        </w:rPr>
      </w:pPr>
      <w:r w:rsidRPr="00A65C26">
        <w:rPr>
          <w:rFonts w:asciiTheme="majorBidi" w:hAnsiTheme="majorBidi" w:cstheme="majorBidi"/>
          <w:sz w:val="24"/>
          <w:szCs w:val="24"/>
          <w:lang w:bidi="fa-IR"/>
        </w:rPr>
        <w:t>Department of Clinical Nutrition, School of Nutrition &amp; food Sciences, Shiraz University of Medical Sciences, Shiraz, Iran</w:t>
      </w:r>
    </w:p>
    <w:p w:rsidR="00E95913" w:rsidRPr="00A65C26" w:rsidRDefault="00E95913" w:rsidP="00A65C26">
      <w:pPr>
        <w:pStyle w:val="ListParagraph"/>
        <w:numPr>
          <w:ilvl w:val="0"/>
          <w:numId w:val="1"/>
        </w:numPr>
        <w:spacing w:after="200" w:line="276" w:lineRule="auto"/>
        <w:ind w:right="-90"/>
        <w:jc w:val="both"/>
        <w:rPr>
          <w:rFonts w:asciiTheme="majorBidi" w:hAnsiTheme="majorBidi" w:cstheme="majorBidi"/>
          <w:sz w:val="24"/>
          <w:szCs w:val="24"/>
          <w:lang w:bidi="fa-IR"/>
        </w:rPr>
      </w:pPr>
      <w:r w:rsidRPr="00A65C26">
        <w:rPr>
          <w:rFonts w:asciiTheme="majorBidi" w:hAnsiTheme="majorBidi" w:cstheme="majorBidi"/>
          <w:sz w:val="24"/>
          <w:szCs w:val="24"/>
          <w:lang w:bidi="fa-IR"/>
        </w:rPr>
        <w:t>Department of Clinical Nutrition, School of Nutrition &amp; food Sciences, Isfahan University of Medical Sciences, Isfahan, Iran</w:t>
      </w:r>
    </w:p>
    <w:p w:rsidR="00E95913" w:rsidRPr="00A65C26" w:rsidRDefault="00E95913" w:rsidP="00A65C26">
      <w:pPr>
        <w:pStyle w:val="ListParagraph"/>
        <w:numPr>
          <w:ilvl w:val="0"/>
          <w:numId w:val="1"/>
        </w:numPr>
        <w:spacing w:after="200" w:line="276" w:lineRule="auto"/>
        <w:ind w:right="-90"/>
        <w:jc w:val="both"/>
        <w:rPr>
          <w:rFonts w:asciiTheme="majorBidi" w:hAnsiTheme="majorBidi" w:cstheme="majorBidi"/>
          <w:sz w:val="24"/>
          <w:szCs w:val="24"/>
          <w:lang w:bidi="fa-IR"/>
        </w:rPr>
      </w:pPr>
      <w:r w:rsidRPr="00A65C26">
        <w:rPr>
          <w:rFonts w:asciiTheme="majorBidi" w:hAnsiTheme="majorBidi" w:cstheme="majorBidi"/>
          <w:sz w:val="24"/>
          <w:szCs w:val="24"/>
          <w:lang w:bidi="fa-IR"/>
        </w:rPr>
        <w:t xml:space="preserve">Social Determinants of Health Research Center, Health Research Institute, </w:t>
      </w:r>
      <w:proofErr w:type="spellStart"/>
      <w:r w:rsidRPr="00A65C26">
        <w:rPr>
          <w:rFonts w:asciiTheme="majorBidi" w:hAnsiTheme="majorBidi" w:cstheme="majorBidi"/>
          <w:sz w:val="24"/>
          <w:szCs w:val="24"/>
          <w:lang w:bidi="fa-IR"/>
        </w:rPr>
        <w:t>Babol</w:t>
      </w:r>
      <w:proofErr w:type="spellEnd"/>
      <w:r w:rsidRPr="00A65C26">
        <w:rPr>
          <w:rFonts w:asciiTheme="majorBidi" w:hAnsiTheme="majorBidi" w:cstheme="majorBidi"/>
          <w:sz w:val="24"/>
          <w:szCs w:val="24"/>
          <w:lang w:bidi="fa-IR"/>
        </w:rPr>
        <w:t xml:space="preserve"> University of Medical Sciences</w:t>
      </w:r>
      <w:r w:rsidRPr="00A65C26">
        <w:rPr>
          <w:rFonts w:asciiTheme="majorBidi" w:hAnsiTheme="majorBidi" w:cstheme="majorBidi"/>
          <w:sz w:val="24"/>
          <w:szCs w:val="24"/>
          <w:rtl/>
          <w:lang w:bidi="fa-IR"/>
        </w:rPr>
        <w:t>,</w:t>
      </w:r>
      <w:r w:rsidRPr="00A65C26">
        <w:rPr>
          <w:rFonts w:asciiTheme="majorBidi" w:hAnsiTheme="majorBidi" w:cstheme="majorBidi"/>
          <w:sz w:val="24"/>
          <w:szCs w:val="24"/>
          <w:lang w:bidi="fa-IR"/>
        </w:rPr>
        <w:t> </w:t>
      </w:r>
      <w:proofErr w:type="spellStart"/>
      <w:r w:rsidRPr="00A65C26">
        <w:rPr>
          <w:rFonts w:asciiTheme="majorBidi" w:hAnsiTheme="majorBidi" w:cstheme="majorBidi"/>
          <w:sz w:val="24"/>
          <w:szCs w:val="24"/>
          <w:lang w:bidi="fa-IR"/>
        </w:rPr>
        <w:t>Babol</w:t>
      </w:r>
      <w:proofErr w:type="spellEnd"/>
      <w:r w:rsidRPr="00A65C26">
        <w:rPr>
          <w:rFonts w:asciiTheme="majorBidi" w:hAnsiTheme="majorBidi" w:cstheme="majorBidi"/>
          <w:sz w:val="24"/>
          <w:szCs w:val="24"/>
          <w:lang w:bidi="fa-IR"/>
        </w:rPr>
        <w:t xml:space="preserve">, Iran </w:t>
      </w:r>
    </w:p>
    <w:p w:rsidR="00E95913" w:rsidRPr="00A65C26" w:rsidRDefault="00E95913" w:rsidP="00A65C26">
      <w:pPr>
        <w:pStyle w:val="ListParagraph"/>
        <w:numPr>
          <w:ilvl w:val="0"/>
          <w:numId w:val="1"/>
        </w:numPr>
        <w:spacing w:line="276" w:lineRule="auto"/>
        <w:ind w:right="-90"/>
        <w:jc w:val="both"/>
        <w:rPr>
          <w:rFonts w:asciiTheme="majorBidi" w:hAnsiTheme="majorBidi" w:cstheme="majorBidi"/>
          <w:sz w:val="24"/>
          <w:szCs w:val="24"/>
          <w:lang w:bidi="fa-IR"/>
        </w:rPr>
      </w:pPr>
      <w:r w:rsidRPr="00A65C26">
        <w:rPr>
          <w:rFonts w:asciiTheme="majorBidi" w:hAnsiTheme="majorBidi" w:cstheme="majorBidi"/>
          <w:sz w:val="24"/>
          <w:szCs w:val="24"/>
          <w:lang w:bidi="fa-IR"/>
        </w:rPr>
        <w:t xml:space="preserve">Student research committee, Cancer Research Center, </w:t>
      </w:r>
      <w:proofErr w:type="spellStart"/>
      <w:r w:rsidRPr="00A65C26">
        <w:rPr>
          <w:rFonts w:asciiTheme="majorBidi" w:hAnsiTheme="majorBidi" w:cstheme="majorBidi"/>
          <w:sz w:val="24"/>
          <w:szCs w:val="24"/>
          <w:lang w:bidi="fa-IR"/>
        </w:rPr>
        <w:t>Shahid</w:t>
      </w:r>
      <w:proofErr w:type="spellEnd"/>
      <w:r w:rsidRPr="00A65C26">
        <w:rPr>
          <w:rFonts w:asciiTheme="majorBidi" w:hAnsiTheme="majorBidi" w:cstheme="majorBidi"/>
          <w:sz w:val="24"/>
          <w:szCs w:val="24"/>
          <w:lang w:bidi="fa-IR"/>
        </w:rPr>
        <w:t xml:space="preserve"> </w:t>
      </w:r>
      <w:proofErr w:type="spellStart"/>
      <w:r w:rsidRPr="00A65C26">
        <w:rPr>
          <w:rFonts w:asciiTheme="majorBidi" w:hAnsiTheme="majorBidi" w:cstheme="majorBidi"/>
          <w:sz w:val="24"/>
          <w:szCs w:val="24"/>
          <w:lang w:bidi="fa-IR"/>
        </w:rPr>
        <w:t>Beheshti</w:t>
      </w:r>
      <w:proofErr w:type="spellEnd"/>
      <w:r w:rsidRPr="00A65C26">
        <w:rPr>
          <w:rFonts w:asciiTheme="majorBidi" w:hAnsiTheme="majorBidi" w:cstheme="majorBidi"/>
          <w:sz w:val="24"/>
          <w:szCs w:val="24"/>
          <w:lang w:bidi="fa-IR"/>
        </w:rPr>
        <w:t xml:space="preserve"> University of Medical Sciences, Tehran, Iran</w:t>
      </w:r>
    </w:p>
    <w:p w:rsidR="00E95913" w:rsidRPr="00A65C26" w:rsidRDefault="00E95913" w:rsidP="00A65C26">
      <w:pPr>
        <w:pStyle w:val="ListParagraph"/>
        <w:spacing w:after="200" w:line="276" w:lineRule="auto"/>
        <w:ind w:right="-90"/>
        <w:jc w:val="both"/>
        <w:rPr>
          <w:rFonts w:asciiTheme="majorBidi" w:hAnsiTheme="majorBidi" w:cstheme="majorBidi"/>
          <w:sz w:val="24"/>
          <w:szCs w:val="24"/>
        </w:rPr>
      </w:pPr>
    </w:p>
    <w:p w:rsidR="00E95913" w:rsidRPr="00A65C26" w:rsidRDefault="00E95913" w:rsidP="00A65C26">
      <w:pPr>
        <w:spacing w:line="276" w:lineRule="auto"/>
        <w:ind w:right="-90"/>
        <w:jc w:val="both"/>
        <w:rPr>
          <w:rFonts w:asciiTheme="majorBidi" w:hAnsiTheme="majorBidi" w:cstheme="majorBidi"/>
          <w:sz w:val="24"/>
          <w:szCs w:val="24"/>
        </w:rPr>
      </w:pPr>
      <w:r w:rsidRPr="00A65C26">
        <w:rPr>
          <w:rFonts w:asciiTheme="majorBidi" w:hAnsiTheme="majorBidi" w:cstheme="majorBidi"/>
          <w:sz w:val="24"/>
          <w:szCs w:val="24"/>
          <w:vertAlign w:val="superscript"/>
        </w:rPr>
        <w:t>*</w:t>
      </w:r>
      <w:r w:rsidRPr="00A65C26">
        <w:rPr>
          <w:rFonts w:asciiTheme="majorBidi" w:hAnsiTheme="majorBidi" w:cstheme="majorBidi"/>
          <w:sz w:val="24"/>
          <w:szCs w:val="24"/>
        </w:rPr>
        <w:t xml:space="preserve">Corresponding Author: Mohammad Hassan </w:t>
      </w:r>
      <w:proofErr w:type="spellStart"/>
      <w:r w:rsidRPr="00A65C26">
        <w:rPr>
          <w:rFonts w:asciiTheme="majorBidi" w:hAnsiTheme="majorBidi" w:cstheme="majorBidi"/>
          <w:sz w:val="24"/>
          <w:szCs w:val="24"/>
        </w:rPr>
        <w:t>Eftekhari</w:t>
      </w:r>
      <w:proofErr w:type="spellEnd"/>
    </w:p>
    <w:p w:rsidR="00E95913" w:rsidRPr="00A65C26" w:rsidRDefault="00E95913" w:rsidP="00A65C26">
      <w:pPr>
        <w:spacing w:line="276" w:lineRule="auto"/>
        <w:ind w:right="-90"/>
        <w:jc w:val="both"/>
        <w:rPr>
          <w:rFonts w:asciiTheme="majorBidi" w:hAnsiTheme="majorBidi" w:cstheme="majorBidi"/>
          <w:sz w:val="24"/>
          <w:szCs w:val="24"/>
        </w:rPr>
      </w:pPr>
      <w:proofErr w:type="gramStart"/>
      <w:r w:rsidRPr="00A65C26">
        <w:rPr>
          <w:rFonts w:asciiTheme="majorBidi" w:hAnsiTheme="majorBidi" w:cstheme="majorBidi"/>
          <w:sz w:val="24"/>
          <w:szCs w:val="24"/>
        </w:rPr>
        <w:t>Department of Clinical Nutrition, School of Nutrition &amp; food Sciences, Shiraz University of Medical Sciences.</w:t>
      </w:r>
      <w:proofErr w:type="gramEnd"/>
      <w:r w:rsidRPr="00A65C26">
        <w:rPr>
          <w:rFonts w:asciiTheme="majorBidi" w:hAnsiTheme="majorBidi" w:cstheme="majorBidi"/>
          <w:sz w:val="24"/>
          <w:szCs w:val="24"/>
        </w:rPr>
        <w:t xml:space="preserve"> Shiraz, Iran.</w:t>
      </w:r>
    </w:p>
    <w:p w:rsidR="00E95913" w:rsidRPr="00A65C26" w:rsidRDefault="00E95913" w:rsidP="00A65C26">
      <w:pPr>
        <w:spacing w:line="276" w:lineRule="auto"/>
        <w:ind w:right="-90"/>
        <w:jc w:val="both"/>
        <w:rPr>
          <w:rFonts w:asciiTheme="majorBidi" w:hAnsiTheme="majorBidi" w:cstheme="majorBidi"/>
          <w:sz w:val="24"/>
          <w:szCs w:val="24"/>
        </w:rPr>
      </w:pPr>
      <w:r w:rsidRPr="00A65C26">
        <w:rPr>
          <w:rFonts w:asciiTheme="majorBidi" w:hAnsiTheme="majorBidi" w:cstheme="majorBidi"/>
          <w:sz w:val="24"/>
          <w:szCs w:val="24"/>
        </w:rPr>
        <w:t xml:space="preserve"> E-mail:  h_eftekhari@yahoo.com </w:t>
      </w:r>
    </w:p>
    <w:p w:rsidR="00E95913" w:rsidRPr="00A65C26" w:rsidRDefault="00E95913" w:rsidP="00A65C26">
      <w:pPr>
        <w:spacing w:line="276" w:lineRule="auto"/>
        <w:rPr>
          <w:rFonts w:asciiTheme="majorBidi" w:hAnsiTheme="majorBidi" w:cstheme="majorBidi"/>
          <w:sz w:val="24"/>
          <w:szCs w:val="24"/>
          <w:shd w:val="clear" w:color="auto" w:fill="FFFFFF"/>
        </w:rPr>
      </w:pPr>
      <w:r w:rsidRPr="00A65C26">
        <w:rPr>
          <w:rFonts w:asciiTheme="majorBidi" w:hAnsiTheme="majorBidi" w:cstheme="majorBidi"/>
          <w:sz w:val="24"/>
          <w:szCs w:val="24"/>
          <w:shd w:val="clear" w:color="auto" w:fill="FFFFFF"/>
        </w:rPr>
        <w:t>Cell Phone No: +989177088717</w:t>
      </w:r>
    </w:p>
    <w:p w:rsidR="00E95913" w:rsidRPr="00A65C26" w:rsidRDefault="00E95913" w:rsidP="00A65C26">
      <w:pPr>
        <w:spacing w:after="200" w:line="276" w:lineRule="auto"/>
        <w:rPr>
          <w:rFonts w:asciiTheme="majorBidi" w:hAnsiTheme="majorBidi" w:cstheme="majorBidi"/>
          <w:sz w:val="24"/>
          <w:szCs w:val="24"/>
          <w:shd w:val="clear" w:color="auto" w:fill="FFFFFF"/>
        </w:rPr>
      </w:pPr>
      <w:r w:rsidRPr="00A65C26">
        <w:rPr>
          <w:rFonts w:asciiTheme="majorBidi" w:hAnsiTheme="majorBidi" w:cstheme="majorBidi"/>
          <w:sz w:val="24"/>
          <w:szCs w:val="24"/>
          <w:shd w:val="clear" w:color="auto" w:fill="FFFFFF"/>
        </w:rPr>
        <w:br w:type="page"/>
      </w:r>
    </w:p>
    <w:p w:rsidR="00A65C26" w:rsidRPr="00A65C26" w:rsidRDefault="00A65C26" w:rsidP="00A65C26">
      <w:pPr>
        <w:spacing w:after="0" w:line="276" w:lineRule="auto"/>
        <w:rPr>
          <w:rFonts w:asciiTheme="majorBidi" w:eastAsia="Times New Roman" w:hAnsiTheme="majorBidi" w:cstheme="majorBidi"/>
          <w:b/>
          <w:bCs/>
          <w:color w:val="333333"/>
          <w:sz w:val="24"/>
          <w:szCs w:val="24"/>
        </w:rPr>
      </w:pPr>
      <w:r w:rsidRPr="00A65C26">
        <w:rPr>
          <w:rFonts w:asciiTheme="majorBidi" w:eastAsia="Times New Roman" w:hAnsiTheme="majorBidi" w:cstheme="majorBidi"/>
          <w:b/>
          <w:bCs/>
          <w:color w:val="333333"/>
          <w:sz w:val="24"/>
          <w:szCs w:val="24"/>
        </w:rPr>
        <w:lastRenderedPageBreak/>
        <w:t>ABSTRACT</w:t>
      </w:r>
    </w:p>
    <w:p w:rsidR="00A65C26" w:rsidRPr="00A65C26" w:rsidRDefault="00A65C26" w:rsidP="00A65C26">
      <w:pPr>
        <w:spacing w:before="240" w:after="240" w:line="276" w:lineRule="auto"/>
        <w:rPr>
          <w:rFonts w:asciiTheme="majorBidi" w:eastAsia="Times New Roman" w:hAnsiTheme="majorBidi" w:cstheme="majorBidi"/>
          <w:color w:val="333333"/>
          <w:sz w:val="24"/>
          <w:szCs w:val="24"/>
        </w:rPr>
      </w:pPr>
      <w:r w:rsidRPr="00A65C26">
        <w:rPr>
          <w:rFonts w:asciiTheme="majorBidi" w:eastAsia="Times New Roman" w:hAnsiTheme="majorBidi" w:cstheme="majorBidi"/>
          <w:b/>
          <w:bCs/>
          <w:color w:val="333333"/>
          <w:sz w:val="24"/>
          <w:szCs w:val="24"/>
        </w:rPr>
        <w:t>Background:</w:t>
      </w:r>
      <w:r w:rsidRPr="00A65C26">
        <w:rPr>
          <w:rFonts w:asciiTheme="majorBidi" w:eastAsia="Times New Roman" w:hAnsiTheme="majorBidi" w:cstheme="majorBidi"/>
          <w:color w:val="333333"/>
          <w:sz w:val="24"/>
          <w:szCs w:val="24"/>
        </w:rPr>
        <w:t> Despite the significant role of the Fat Mass and Obesity-Associated (FTO) gene in obesity, the underlying mechanisms are not fully elucidated. Besides, vitamin D deficiency and obesity are mostly seen together, and it can be hypothesized that this nutrient may have an impact in the role of FTO genotype in adiposity.</w:t>
      </w:r>
    </w:p>
    <w:p w:rsidR="00A65C26" w:rsidRPr="00A65C26" w:rsidRDefault="00A65C26" w:rsidP="00A65C26">
      <w:pPr>
        <w:spacing w:before="240" w:after="240" w:line="276" w:lineRule="auto"/>
        <w:rPr>
          <w:rFonts w:asciiTheme="majorBidi" w:eastAsia="Times New Roman" w:hAnsiTheme="majorBidi" w:cstheme="majorBidi"/>
          <w:color w:val="333333"/>
          <w:sz w:val="24"/>
          <w:szCs w:val="24"/>
        </w:rPr>
      </w:pPr>
      <w:r w:rsidRPr="00A65C26">
        <w:rPr>
          <w:rFonts w:asciiTheme="majorBidi" w:eastAsia="Times New Roman" w:hAnsiTheme="majorBidi" w:cstheme="majorBidi"/>
          <w:b/>
          <w:bCs/>
          <w:color w:val="333333"/>
          <w:sz w:val="24"/>
          <w:szCs w:val="24"/>
        </w:rPr>
        <w:t>Objective:</w:t>
      </w:r>
      <w:r w:rsidRPr="00A65C26">
        <w:rPr>
          <w:rFonts w:asciiTheme="majorBidi" w:eastAsia="Times New Roman" w:hAnsiTheme="majorBidi" w:cstheme="majorBidi"/>
          <w:color w:val="333333"/>
          <w:sz w:val="24"/>
          <w:szCs w:val="24"/>
        </w:rPr>
        <w:t> Thus, this study aimed to investigate the association of FTO rs9939609 gene polymorphism with eating behaviors, eating disorders, and general mental health in overweight adults, considering their vitamin D intake as a mediate confounding factor.</w:t>
      </w:r>
    </w:p>
    <w:p w:rsidR="00A65C26" w:rsidRPr="00A65C26" w:rsidRDefault="00A65C26" w:rsidP="00A65C26">
      <w:pPr>
        <w:spacing w:before="240" w:after="240" w:line="276" w:lineRule="auto"/>
        <w:rPr>
          <w:rFonts w:asciiTheme="majorBidi" w:eastAsia="Times New Roman" w:hAnsiTheme="majorBidi" w:cstheme="majorBidi"/>
          <w:color w:val="333333"/>
          <w:sz w:val="24"/>
          <w:szCs w:val="24"/>
        </w:rPr>
      </w:pPr>
      <w:r w:rsidRPr="00A65C26">
        <w:rPr>
          <w:rFonts w:asciiTheme="majorBidi" w:eastAsia="Times New Roman" w:hAnsiTheme="majorBidi" w:cstheme="majorBidi"/>
          <w:b/>
          <w:bCs/>
          <w:color w:val="333333"/>
          <w:sz w:val="24"/>
          <w:szCs w:val="24"/>
        </w:rPr>
        <w:t>Methods:</w:t>
      </w:r>
      <w:r w:rsidRPr="00A65C26">
        <w:rPr>
          <w:rFonts w:asciiTheme="majorBidi" w:eastAsia="Times New Roman" w:hAnsiTheme="majorBidi" w:cstheme="majorBidi"/>
          <w:color w:val="333333"/>
          <w:sz w:val="24"/>
          <w:szCs w:val="24"/>
        </w:rPr>
        <w:t> This cross-sectional study was carried out on 197 overweight adults in Shiraz, Iran. Genotyping was performed through amplification refractory mutation system polymerase chain reaction (ARMS PCR). Mental health, vitamin D intake, eating behaviors and disorders were assessed by the validated questionnaires.</w:t>
      </w:r>
    </w:p>
    <w:p w:rsidR="00A65C26" w:rsidRPr="00A65C26" w:rsidRDefault="00A65C26" w:rsidP="00A65C26">
      <w:pPr>
        <w:spacing w:before="240" w:after="240" w:line="276" w:lineRule="auto"/>
        <w:rPr>
          <w:rFonts w:asciiTheme="majorBidi" w:eastAsia="Times New Roman" w:hAnsiTheme="majorBidi" w:cstheme="majorBidi"/>
          <w:color w:val="333333"/>
          <w:sz w:val="24"/>
          <w:szCs w:val="24"/>
        </w:rPr>
      </w:pPr>
      <w:r w:rsidRPr="00A65C26">
        <w:rPr>
          <w:rFonts w:asciiTheme="majorBidi" w:eastAsia="Times New Roman" w:hAnsiTheme="majorBidi" w:cstheme="majorBidi"/>
          <w:b/>
          <w:bCs/>
          <w:color w:val="333333"/>
          <w:sz w:val="24"/>
          <w:szCs w:val="24"/>
        </w:rPr>
        <w:t>Results:</w:t>
      </w:r>
      <w:r w:rsidRPr="00A65C26">
        <w:rPr>
          <w:rFonts w:asciiTheme="majorBidi" w:eastAsia="Times New Roman" w:hAnsiTheme="majorBidi" w:cstheme="majorBidi"/>
          <w:color w:val="333333"/>
          <w:sz w:val="24"/>
          <w:szCs w:val="24"/>
        </w:rPr>
        <w:t> The risk allele of the FTO rs9939609 polymorphism (A) was significantly associated with a higher risk of eating behavior and mental health disorders (all P &lt; 0.05). After considering vitamin D intake, the AA genotype carriers had significantly higher risks for poorer eating behavior (P = 0.002), mental health (P = 0.007), and general mental health (P = 0.039) compared with the TT carriers if they had insufficient vitamin D intake.</w:t>
      </w:r>
    </w:p>
    <w:p w:rsidR="00A65C26" w:rsidRPr="00A65C26" w:rsidRDefault="00A65C26" w:rsidP="00A65C26">
      <w:pPr>
        <w:spacing w:before="240" w:after="240" w:line="276" w:lineRule="auto"/>
        <w:rPr>
          <w:rFonts w:asciiTheme="majorBidi" w:eastAsia="Times New Roman" w:hAnsiTheme="majorBidi" w:cstheme="majorBidi"/>
          <w:color w:val="333333"/>
          <w:sz w:val="24"/>
          <w:szCs w:val="24"/>
        </w:rPr>
      </w:pPr>
      <w:r w:rsidRPr="00A65C26">
        <w:rPr>
          <w:rFonts w:asciiTheme="majorBidi" w:eastAsia="Times New Roman" w:hAnsiTheme="majorBidi" w:cstheme="majorBidi"/>
          <w:b/>
          <w:bCs/>
          <w:color w:val="333333"/>
          <w:sz w:val="24"/>
          <w:szCs w:val="24"/>
        </w:rPr>
        <w:t>Conclusion:</w:t>
      </w:r>
      <w:r w:rsidRPr="00A65C26">
        <w:rPr>
          <w:rFonts w:asciiTheme="majorBidi" w:eastAsia="Times New Roman" w:hAnsiTheme="majorBidi" w:cstheme="majorBidi"/>
          <w:color w:val="333333"/>
          <w:sz w:val="24"/>
          <w:szCs w:val="24"/>
        </w:rPr>
        <w:t> In conclusion, these results indicated that the A-allele of the FTO rs9939609 polymorphism may be associated with poorer eating behaviors, mental health, and higher risk of eating disorders. It was also identified that the effect of FTO rs9939609 A risk allele on eating behavior and mental health may be limited to people with insufficient vitamin D intake.</w:t>
      </w:r>
    </w:p>
    <w:p w:rsidR="00A134C5" w:rsidRPr="00A65C26" w:rsidRDefault="00A134C5" w:rsidP="00A65C26">
      <w:pPr>
        <w:spacing w:line="276" w:lineRule="auto"/>
        <w:rPr>
          <w:rFonts w:asciiTheme="majorBidi" w:hAnsiTheme="majorBidi" w:cstheme="majorBidi"/>
          <w:sz w:val="24"/>
          <w:szCs w:val="24"/>
        </w:rPr>
      </w:pPr>
    </w:p>
    <w:sectPr w:rsidR="00A134C5" w:rsidRPr="00A65C26" w:rsidSect="00A134C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1150E95"/>
    <w:multiLevelType w:val="hybridMultilevel"/>
    <w:tmpl w:val="6C9C2D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20"/>
  <w:characterSpacingControl w:val="doNotCompress"/>
  <w:compat/>
  <w:rsids>
    <w:rsidRoot w:val="00E95913"/>
    <w:rsid w:val="00A134C5"/>
    <w:rsid w:val="00A65C26"/>
    <w:rsid w:val="00E95913"/>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5913"/>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E95913"/>
    <w:pPr>
      <w:spacing w:line="240" w:lineRule="auto"/>
    </w:pPr>
    <w:rPr>
      <w:sz w:val="20"/>
      <w:szCs w:val="20"/>
    </w:rPr>
  </w:style>
  <w:style w:type="character" w:customStyle="1" w:styleId="CommentTextChar">
    <w:name w:val="Comment Text Char"/>
    <w:basedOn w:val="DefaultParagraphFont"/>
    <w:link w:val="CommentText"/>
    <w:uiPriority w:val="99"/>
    <w:rsid w:val="00E95913"/>
    <w:rPr>
      <w:sz w:val="20"/>
      <w:szCs w:val="20"/>
    </w:rPr>
  </w:style>
  <w:style w:type="paragraph" w:styleId="ListParagraph">
    <w:name w:val="List Paragraph"/>
    <w:basedOn w:val="Normal"/>
    <w:uiPriority w:val="34"/>
    <w:qFormat/>
    <w:rsid w:val="00E95913"/>
    <w:pPr>
      <w:ind w:left="720"/>
      <w:contextualSpacing/>
    </w:pPr>
  </w:style>
  <w:style w:type="paragraph" w:styleId="NormalWeb">
    <w:name w:val="Normal (Web)"/>
    <w:basedOn w:val="Normal"/>
    <w:uiPriority w:val="99"/>
    <w:semiHidden/>
    <w:unhideWhenUsed/>
    <w:rsid w:val="00A65C2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551847540">
      <w:bodyDiv w:val="1"/>
      <w:marLeft w:val="0"/>
      <w:marRight w:val="0"/>
      <w:marTop w:val="0"/>
      <w:marBottom w:val="0"/>
      <w:divBdr>
        <w:top w:val="none" w:sz="0" w:space="0" w:color="auto"/>
        <w:left w:val="none" w:sz="0" w:space="0" w:color="auto"/>
        <w:bottom w:val="none" w:sz="0" w:space="0" w:color="auto"/>
        <w:right w:val="none" w:sz="0" w:space="0" w:color="auto"/>
      </w:divBdr>
      <w:divsChild>
        <w:div w:id="14179399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429</Words>
  <Characters>2448</Characters>
  <Application>Microsoft Office Word</Application>
  <DocSecurity>0</DocSecurity>
  <Lines>20</Lines>
  <Paragraphs>5</Paragraphs>
  <ScaleCrop>false</ScaleCrop>
  <Company/>
  <LinksUpToDate>false</LinksUpToDate>
  <CharactersWithSpaces>2872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SONY</dc:creator>
  <cp:lastModifiedBy>SONY</cp:lastModifiedBy>
  <cp:revision>2</cp:revision>
  <dcterms:created xsi:type="dcterms:W3CDTF">2021-07-09T06:46:00Z</dcterms:created>
  <dcterms:modified xsi:type="dcterms:W3CDTF">2021-07-09T06:48:00Z</dcterms:modified>
</cp:coreProperties>
</file>