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411" w:rsidRDefault="00516446" w:rsidP="00FD4411">
      <w:pPr>
        <w:pStyle w:val="Heading1"/>
        <w:spacing w:before="170"/>
        <w:ind w:left="0"/>
      </w:pPr>
      <w:r>
        <w:rPr>
          <w:color w:val="337AB7"/>
        </w:rPr>
        <w:t xml:space="preserve">Food </w:t>
      </w:r>
      <w:r w:rsidR="009C7B09">
        <w:rPr>
          <w:color w:val="337AB7"/>
        </w:rPr>
        <w:t>Insecurity among Women of Reproductive Age in South Asian Countries – A Narrative Review</w:t>
      </w:r>
    </w:p>
    <w:p w:rsidR="00FD4411" w:rsidRDefault="009C7B09" w:rsidP="00FD4411">
      <w:pPr>
        <w:pStyle w:val="BodyText"/>
        <w:rPr>
          <w:rFonts w:ascii="Arial"/>
          <w:sz w:val="20"/>
        </w:rPr>
      </w:pPr>
      <w:r>
        <w:rPr>
          <w:rFonts w:ascii="Arial"/>
        </w:rPr>
        <w:t xml:space="preserve">Pooja Panchal, </w:t>
      </w:r>
      <w:proofErr w:type="spellStart"/>
      <w:r>
        <w:rPr>
          <w:rFonts w:ascii="Arial"/>
        </w:rPr>
        <w:t>Sameeksha</w:t>
      </w:r>
      <w:proofErr w:type="spellEnd"/>
      <w:r w:rsidR="00BE733C">
        <w:rPr>
          <w:rFonts w:ascii="Arial"/>
        </w:rPr>
        <w:t xml:space="preserve"> </w:t>
      </w:r>
      <w:proofErr w:type="spellStart"/>
      <w:r>
        <w:rPr>
          <w:rFonts w:ascii="Arial"/>
        </w:rPr>
        <w:t>Redij</w:t>
      </w:r>
      <w:proofErr w:type="spellEnd"/>
      <w:r>
        <w:rPr>
          <w:rFonts w:ascii="Arial"/>
        </w:rPr>
        <w:t>, Kavitha Menon</w:t>
      </w:r>
      <w:r w:rsidR="00687317">
        <w:rPr>
          <w:rFonts w:ascii="Arial"/>
        </w:rPr>
        <w:t>*</w:t>
      </w:r>
      <w:r>
        <w:rPr>
          <w:rFonts w:ascii="Arial"/>
        </w:rPr>
        <w:t xml:space="preserve">, Department of Nutrition and Dietetics, Symbiosis Institute of Health Sciences (SIHS), Symbiosis International (Deemed University) (SIU), </w:t>
      </w:r>
      <w:proofErr w:type="spellStart"/>
      <w:r>
        <w:rPr>
          <w:rFonts w:ascii="Arial"/>
        </w:rPr>
        <w:t>Lavale</w:t>
      </w:r>
      <w:proofErr w:type="spellEnd"/>
      <w:r>
        <w:rPr>
          <w:rFonts w:ascii="Arial"/>
        </w:rPr>
        <w:t>, Pune- 412115, India</w:t>
      </w:r>
    </w:p>
    <w:p w:rsidR="00FD4411" w:rsidRDefault="00FD4411" w:rsidP="00FD4411">
      <w:pPr>
        <w:pStyle w:val="BodyText"/>
        <w:spacing w:before="3"/>
        <w:rPr>
          <w:rFonts w:ascii="Arial"/>
          <w:sz w:val="21"/>
        </w:rPr>
      </w:pPr>
    </w:p>
    <w:p w:rsidR="00FD4411" w:rsidRDefault="00FD4411" w:rsidP="00FD4411">
      <w:pPr>
        <w:widowControl/>
        <w:rPr>
          <w:rFonts w:ascii="Arial"/>
          <w:sz w:val="21"/>
        </w:rPr>
        <w:sectPr w:rsidR="00FD4411">
          <w:pgSz w:w="11910" w:h="16840"/>
          <w:pgMar w:top="1740" w:right="600" w:bottom="840" w:left="620" w:header="541" w:footer="642" w:gutter="0"/>
          <w:cols w:space="720"/>
        </w:sectPr>
      </w:pPr>
    </w:p>
    <w:p w:rsidR="00FD4411" w:rsidRDefault="00FD4411" w:rsidP="00FD4411">
      <w:pPr>
        <w:pStyle w:val="Heading3"/>
        <w:spacing w:before="147"/>
        <w:jc w:val="both"/>
      </w:pPr>
      <w:r>
        <w:rPr>
          <w:color w:val="BF5A14"/>
        </w:rPr>
        <w:lastRenderedPageBreak/>
        <w:t>Abstract (300 word limit)</w:t>
      </w:r>
    </w:p>
    <w:p w:rsidR="004173A2" w:rsidRDefault="00FD4411" w:rsidP="004173A2">
      <w:pPr>
        <w:spacing w:line="276" w:lineRule="auto"/>
        <w:jc w:val="both"/>
        <w:rPr>
          <w:color w:val="BF5A14"/>
        </w:rPr>
      </w:pPr>
      <w:r w:rsidRPr="00DC3769">
        <w:rPr>
          <w:rFonts w:cs="Times New Roman"/>
          <w:b/>
          <w:bCs/>
          <w:sz w:val="18"/>
          <w:szCs w:val="18"/>
        </w:rPr>
        <w:t>Statement of the Problem:</w:t>
      </w:r>
      <w:r w:rsidR="006F5653" w:rsidRPr="00DC3769">
        <w:rPr>
          <w:rFonts w:cs="Times New Roman"/>
          <w:sz w:val="18"/>
          <w:szCs w:val="18"/>
        </w:rPr>
        <w:t xml:space="preserve">Food insecurity remains a foremost public health </w:t>
      </w:r>
      <w:r w:rsidR="008C16EB">
        <w:rPr>
          <w:rFonts w:cs="Times New Roman"/>
          <w:sz w:val="18"/>
          <w:szCs w:val="18"/>
        </w:rPr>
        <w:t>challenge</w:t>
      </w:r>
      <w:r w:rsidR="006F5653" w:rsidRPr="00DC3769">
        <w:rPr>
          <w:rFonts w:cs="Times New Roman"/>
          <w:sz w:val="18"/>
          <w:szCs w:val="18"/>
        </w:rPr>
        <w:t xml:space="preserve"> in the South Asian countries which </w:t>
      </w:r>
      <w:r w:rsidR="008C16EB">
        <w:rPr>
          <w:rFonts w:cs="Times New Roman"/>
          <w:sz w:val="18"/>
          <w:szCs w:val="18"/>
        </w:rPr>
        <w:t>delays</w:t>
      </w:r>
      <w:r w:rsidR="006F5653" w:rsidRPr="00DC3769">
        <w:rPr>
          <w:rFonts w:cs="Times New Roman"/>
          <w:sz w:val="18"/>
          <w:szCs w:val="18"/>
        </w:rPr>
        <w:t xml:space="preserve"> the Zero Hunger target by 2030. South Asia accounts for 15% of total food insecurity in the population.</w:t>
      </w:r>
      <w:r w:rsidR="002E02D6" w:rsidRPr="00DC3769">
        <w:rPr>
          <w:rFonts w:cs="Times New Roman"/>
          <w:sz w:val="18"/>
          <w:szCs w:val="18"/>
        </w:rPr>
        <w:t xml:space="preserve"> However, there i</w:t>
      </w:r>
      <w:r w:rsidR="008C16EB">
        <w:rPr>
          <w:rFonts w:cs="Times New Roman"/>
          <w:sz w:val="18"/>
          <w:szCs w:val="18"/>
        </w:rPr>
        <w:t xml:space="preserve">s a paucity </w:t>
      </w:r>
      <w:r w:rsidR="002E02D6" w:rsidRPr="00DC3769">
        <w:rPr>
          <w:rFonts w:cs="Times New Roman"/>
          <w:sz w:val="18"/>
          <w:szCs w:val="18"/>
        </w:rPr>
        <w:t xml:space="preserve">of data on women of reproductive age (WRA). </w:t>
      </w:r>
      <w:r w:rsidR="006F5653" w:rsidRPr="00DC3769">
        <w:rPr>
          <w:rFonts w:cs="Times New Roman"/>
          <w:sz w:val="18"/>
          <w:szCs w:val="18"/>
        </w:rPr>
        <w:t>Thus</w:t>
      </w:r>
      <w:r w:rsidR="008C16EB">
        <w:rPr>
          <w:rFonts w:cs="Times New Roman"/>
          <w:sz w:val="18"/>
          <w:szCs w:val="18"/>
        </w:rPr>
        <w:t>, the</w:t>
      </w:r>
      <w:r w:rsidR="006F5653" w:rsidRPr="00DC3769">
        <w:rPr>
          <w:rFonts w:cs="Times New Roman"/>
          <w:sz w:val="18"/>
          <w:szCs w:val="18"/>
        </w:rPr>
        <w:t xml:space="preserve"> objective of systematic review </w:t>
      </w:r>
      <w:r w:rsidR="00A17A5D">
        <w:rPr>
          <w:rFonts w:cs="Times New Roman"/>
          <w:sz w:val="18"/>
          <w:szCs w:val="18"/>
        </w:rPr>
        <w:t xml:space="preserve">was to </w:t>
      </w:r>
      <w:r w:rsidR="006F5653" w:rsidRPr="00DC3769">
        <w:rPr>
          <w:rFonts w:cs="Times New Roman"/>
          <w:sz w:val="18"/>
          <w:szCs w:val="18"/>
        </w:rPr>
        <w:t xml:space="preserve">investigate the prevalence, and identify the factors contributing to food insecurity in WRA of South Asian countries. </w:t>
      </w:r>
      <w:r w:rsidRPr="00DC3769">
        <w:rPr>
          <w:b/>
          <w:bCs/>
          <w:sz w:val="18"/>
          <w:szCs w:val="18"/>
        </w:rPr>
        <w:t>Methodology &amp; Theoretical Orientation</w:t>
      </w:r>
      <w:r w:rsidRPr="00DC3769">
        <w:rPr>
          <w:sz w:val="18"/>
          <w:szCs w:val="18"/>
        </w:rPr>
        <w:t xml:space="preserve">: </w:t>
      </w:r>
      <w:r w:rsidR="006F5653" w:rsidRPr="00DC3769">
        <w:rPr>
          <w:rFonts w:cs="Times New Roman"/>
          <w:sz w:val="18"/>
          <w:szCs w:val="18"/>
        </w:rPr>
        <w:t>A comprehensive electronic search was conducted on five databases, i.e., PubMed, Web of Science, Science Direct, SCOPUS and E</w:t>
      </w:r>
      <w:r w:rsidR="00A17A5D">
        <w:rPr>
          <w:rFonts w:cs="Times New Roman"/>
          <w:sz w:val="18"/>
          <w:szCs w:val="18"/>
        </w:rPr>
        <w:t>BSCO,</w:t>
      </w:r>
      <w:r w:rsidR="006F5653" w:rsidRPr="00DC3769">
        <w:rPr>
          <w:rFonts w:cs="Times New Roman"/>
          <w:sz w:val="18"/>
          <w:szCs w:val="18"/>
        </w:rPr>
        <w:t xml:space="preserve"> Medline Complete.Two researchers had independently followed the double-blind process</w:t>
      </w:r>
      <w:r w:rsidR="00A17A5D">
        <w:rPr>
          <w:rFonts w:cs="Times New Roman"/>
          <w:sz w:val="18"/>
          <w:szCs w:val="18"/>
        </w:rPr>
        <w:t xml:space="preserve">.The researchers </w:t>
      </w:r>
      <w:r w:rsidR="006F5653" w:rsidRPr="00DC3769">
        <w:rPr>
          <w:rFonts w:cs="Times New Roman"/>
          <w:sz w:val="18"/>
          <w:szCs w:val="18"/>
        </w:rPr>
        <w:t>screen</w:t>
      </w:r>
      <w:r w:rsidR="00A17A5D">
        <w:rPr>
          <w:rFonts w:cs="Times New Roman"/>
          <w:sz w:val="18"/>
          <w:szCs w:val="18"/>
        </w:rPr>
        <w:t>ed</w:t>
      </w:r>
      <w:r w:rsidR="006F5653" w:rsidRPr="00DC3769">
        <w:rPr>
          <w:rFonts w:cs="Times New Roman"/>
          <w:sz w:val="18"/>
          <w:szCs w:val="18"/>
        </w:rPr>
        <w:t xml:space="preserve"> the research articles using set inclusion and exclusion criteria developed on the basis of PICOS. The methodological quality of the included research articles was scored using the STROBE-M tool. Data extraction was </w:t>
      </w:r>
      <w:r w:rsidR="00A17A5D">
        <w:rPr>
          <w:rFonts w:cs="Times New Roman"/>
          <w:sz w:val="18"/>
          <w:szCs w:val="18"/>
        </w:rPr>
        <w:t xml:space="preserve">performed, and the synthesis of the data conducted. </w:t>
      </w:r>
      <w:r w:rsidR="00227675">
        <w:rPr>
          <w:rFonts w:cs="Times New Roman"/>
          <w:sz w:val="18"/>
          <w:szCs w:val="18"/>
        </w:rPr>
        <w:t xml:space="preserve">Review was </w:t>
      </w:r>
      <w:r w:rsidR="006F5653" w:rsidRPr="00DC3769">
        <w:rPr>
          <w:rFonts w:cs="Times New Roman"/>
          <w:sz w:val="18"/>
          <w:szCs w:val="18"/>
        </w:rPr>
        <w:t xml:space="preserve">narratively synthesized by identifying the factors contributing to food insecurity in women of reproductive age from 8 South Asian countries (i.e. Afghanistan, Bhutan, Bangladesh, India, Maldives, Nepal, Pakistan, and Sri Lanka) </w:t>
      </w:r>
      <w:r w:rsidRPr="00DC3769">
        <w:rPr>
          <w:b/>
          <w:bCs/>
          <w:sz w:val="18"/>
          <w:szCs w:val="18"/>
        </w:rPr>
        <w:t>Findings:</w:t>
      </w:r>
      <w:r w:rsidR="006F5653" w:rsidRPr="00DC3769">
        <w:rPr>
          <w:rFonts w:cs="Times New Roman"/>
          <w:sz w:val="18"/>
          <w:szCs w:val="18"/>
        </w:rPr>
        <w:t xml:space="preserve">Of the total 1728 primary studies initially identified, we found 18 research articles that assessed the food insecurity in WRA among the South Asian countries. </w:t>
      </w:r>
      <w:r w:rsidR="00227675">
        <w:rPr>
          <w:rFonts w:cs="Times New Roman"/>
          <w:sz w:val="18"/>
          <w:szCs w:val="18"/>
        </w:rPr>
        <w:t xml:space="preserve">The review included research studies </w:t>
      </w:r>
      <w:r w:rsidR="006F5653" w:rsidRPr="00DC3769">
        <w:rPr>
          <w:rFonts w:cs="Times New Roman"/>
          <w:sz w:val="18"/>
          <w:szCs w:val="18"/>
        </w:rPr>
        <w:t xml:space="preserve">from Bangladesh (n=7), India (n=7), Nepal (n=3), </w:t>
      </w:r>
      <w:r w:rsidR="00227675">
        <w:rPr>
          <w:rFonts w:cs="Times New Roman"/>
          <w:sz w:val="18"/>
          <w:szCs w:val="18"/>
        </w:rPr>
        <w:t xml:space="preserve">and </w:t>
      </w:r>
      <w:r w:rsidR="006F5653" w:rsidRPr="00DC3769">
        <w:rPr>
          <w:rFonts w:cs="Times New Roman"/>
          <w:sz w:val="18"/>
          <w:szCs w:val="18"/>
        </w:rPr>
        <w:t xml:space="preserve">Pakistan (n=1). The cross-sectional studies included for </w:t>
      </w:r>
      <w:r w:rsidR="00227675">
        <w:rPr>
          <w:rFonts w:cs="Times New Roman"/>
          <w:sz w:val="18"/>
          <w:szCs w:val="18"/>
        </w:rPr>
        <w:t xml:space="preserve">the present </w:t>
      </w:r>
      <w:r w:rsidR="006F5653" w:rsidRPr="00DC3769">
        <w:rPr>
          <w:rFonts w:cs="Times New Roman"/>
          <w:sz w:val="18"/>
          <w:szCs w:val="18"/>
        </w:rPr>
        <w:t xml:space="preserve">narrative review </w:t>
      </w:r>
      <w:r w:rsidR="00245B11">
        <w:rPr>
          <w:rFonts w:cs="Times New Roman"/>
          <w:sz w:val="18"/>
          <w:szCs w:val="18"/>
        </w:rPr>
        <w:t xml:space="preserve">were majorly of </w:t>
      </w:r>
      <w:r w:rsidR="006F5653" w:rsidRPr="00DC3769">
        <w:rPr>
          <w:rFonts w:cs="Times New Roman"/>
          <w:sz w:val="18"/>
          <w:szCs w:val="18"/>
        </w:rPr>
        <w:t>good qualit</w:t>
      </w:r>
      <w:r w:rsidR="00245B11">
        <w:rPr>
          <w:rFonts w:cs="Times New Roman"/>
          <w:sz w:val="18"/>
          <w:szCs w:val="18"/>
        </w:rPr>
        <w:t>y (n=10)</w:t>
      </w:r>
      <w:r w:rsidR="006F5653" w:rsidRPr="00DC3769">
        <w:rPr>
          <w:rFonts w:cs="Times New Roman"/>
          <w:sz w:val="18"/>
          <w:szCs w:val="18"/>
        </w:rPr>
        <w:t>. The factors identified from the included research articles were grouped into three pillars of food insecurity, i.e., food availability, food access and food utilization</w:t>
      </w:r>
      <w:r w:rsidR="00BE733C">
        <w:rPr>
          <w:rFonts w:cs="Times New Roman"/>
          <w:sz w:val="18"/>
          <w:szCs w:val="18"/>
        </w:rPr>
        <w:t xml:space="preserve"> (Image 1)</w:t>
      </w:r>
      <w:r w:rsidR="006F5653" w:rsidRPr="00DC3769">
        <w:rPr>
          <w:rFonts w:cs="Times New Roman"/>
          <w:sz w:val="18"/>
          <w:szCs w:val="18"/>
        </w:rPr>
        <w:t>.</w:t>
      </w:r>
      <w:r w:rsidR="00BE733C">
        <w:rPr>
          <w:rFonts w:cs="Times New Roman"/>
          <w:sz w:val="18"/>
          <w:szCs w:val="18"/>
        </w:rPr>
        <w:t xml:space="preserve"> </w:t>
      </w:r>
      <w:r w:rsidRPr="00DC3769">
        <w:rPr>
          <w:b/>
          <w:bCs/>
          <w:sz w:val="18"/>
          <w:szCs w:val="18"/>
        </w:rPr>
        <w:t>Conclusion &amp; Significance:</w:t>
      </w:r>
      <w:r w:rsidR="00BE733C">
        <w:rPr>
          <w:b/>
          <w:bCs/>
          <w:sz w:val="18"/>
          <w:szCs w:val="18"/>
        </w:rPr>
        <w:t xml:space="preserve"> </w:t>
      </w:r>
      <w:r w:rsidR="006F5653" w:rsidRPr="00DC3769">
        <w:rPr>
          <w:rFonts w:cs="Times New Roman"/>
          <w:sz w:val="18"/>
          <w:szCs w:val="18"/>
        </w:rPr>
        <w:t>Th</w:t>
      </w:r>
      <w:r w:rsidR="00FB06A5">
        <w:rPr>
          <w:rFonts w:cs="Times New Roman"/>
          <w:sz w:val="18"/>
          <w:szCs w:val="18"/>
        </w:rPr>
        <w:t>e present</w:t>
      </w:r>
      <w:r w:rsidR="006F5653" w:rsidRPr="00DC3769">
        <w:rPr>
          <w:rFonts w:cs="Times New Roman"/>
          <w:sz w:val="18"/>
          <w:szCs w:val="18"/>
        </w:rPr>
        <w:t xml:space="preserve"> narrative review identified factors having a positive association, i.e., gender</w:t>
      </w:r>
      <w:r w:rsidR="00FB360A">
        <w:rPr>
          <w:rFonts w:cs="Times New Roman"/>
          <w:sz w:val="18"/>
          <w:szCs w:val="18"/>
        </w:rPr>
        <w:t>-</w:t>
      </w:r>
      <w:r w:rsidR="006F5653" w:rsidRPr="00DC3769">
        <w:rPr>
          <w:rFonts w:cs="Times New Roman"/>
          <w:sz w:val="18"/>
          <w:szCs w:val="18"/>
        </w:rPr>
        <w:t>equality and decision</w:t>
      </w:r>
      <w:r w:rsidR="00FB360A">
        <w:rPr>
          <w:rFonts w:cs="Times New Roman"/>
          <w:sz w:val="18"/>
          <w:szCs w:val="18"/>
        </w:rPr>
        <w:t>-</w:t>
      </w:r>
      <w:r w:rsidR="006F5653" w:rsidRPr="00DC3769">
        <w:rPr>
          <w:rFonts w:cs="Times New Roman"/>
          <w:sz w:val="18"/>
          <w:szCs w:val="18"/>
        </w:rPr>
        <w:t xml:space="preserve">making, women participation, size of households, unequal distribution of food and illiteracy leading to food insecurity in WRA. </w:t>
      </w:r>
      <w:r w:rsidR="004173A2">
        <w:rPr>
          <w:rFonts w:cs="Times New Roman"/>
          <w:sz w:val="18"/>
          <w:szCs w:val="18"/>
        </w:rPr>
        <w:t xml:space="preserve">The interventions to address food insecurity among WRA should address the above factors. </w:t>
      </w:r>
    </w:p>
    <w:p w:rsidR="00CA6F13" w:rsidRDefault="00CA6F13" w:rsidP="006F5653">
      <w:pPr>
        <w:pStyle w:val="BodyText"/>
        <w:spacing w:before="90" w:line="276" w:lineRule="auto"/>
        <w:ind w:left="100"/>
        <w:jc w:val="both"/>
        <w:rPr>
          <w:color w:val="BF5A14"/>
        </w:rPr>
      </w:pPr>
    </w:p>
    <w:p w:rsidR="00CA6F13" w:rsidRDefault="00CA6F13" w:rsidP="006F5653">
      <w:pPr>
        <w:pStyle w:val="BodyText"/>
        <w:spacing w:before="90" w:line="276" w:lineRule="auto"/>
        <w:ind w:left="100"/>
        <w:jc w:val="both"/>
        <w:rPr>
          <w:color w:val="BF5A14"/>
        </w:rPr>
      </w:pPr>
    </w:p>
    <w:p w:rsidR="00CA6F13" w:rsidRDefault="00CA6F13" w:rsidP="006F5653">
      <w:pPr>
        <w:pStyle w:val="BodyText"/>
        <w:spacing w:before="90" w:line="276" w:lineRule="auto"/>
        <w:ind w:left="100"/>
        <w:jc w:val="both"/>
        <w:rPr>
          <w:color w:val="BF5A14"/>
        </w:rPr>
      </w:pPr>
    </w:p>
    <w:p w:rsidR="00CA6F13" w:rsidRDefault="00CA6F13" w:rsidP="006F5653">
      <w:pPr>
        <w:pStyle w:val="BodyText"/>
        <w:spacing w:before="90" w:line="276" w:lineRule="auto"/>
        <w:ind w:left="100"/>
        <w:jc w:val="both"/>
        <w:rPr>
          <w:color w:val="BF5A14"/>
        </w:rPr>
      </w:pPr>
    </w:p>
    <w:p w:rsidR="00CA6F13" w:rsidRDefault="00CA6F13" w:rsidP="00CA6F13">
      <w:pPr>
        <w:pStyle w:val="BodyText"/>
        <w:spacing w:before="90" w:line="276" w:lineRule="auto"/>
        <w:ind w:left="100"/>
        <w:jc w:val="center"/>
        <w:rPr>
          <w:color w:val="BF5A14"/>
        </w:rPr>
      </w:pPr>
      <w:r>
        <w:rPr>
          <w:noProof/>
          <w:color w:val="BF5A14"/>
          <w:lang w:bidi="mr-IN"/>
        </w:rPr>
        <w:lastRenderedPageBreak/>
        <w:drawing>
          <wp:inline distT="0" distB="0" distL="0" distR="0">
            <wp:extent cx="1966315" cy="1747837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1654" t="4195" r="3609" b="18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644" cy="17507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D4411" w:rsidRDefault="00BE733C" w:rsidP="00516446">
      <w:pPr>
        <w:pStyle w:val="BodyText"/>
        <w:spacing w:before="90" w:line="276" w:lineRule="auto"/>
        <w:ind w:left="100"/>
        <w:jc w:val="both"/>
        <w:rPr>
          <w:rFonts w:ascii="Arial"/>
          <w:b/>
          <w:sz w:val="16"/>
        </w:rPr>
      </w:pPr>
      <w:r>
        <w:t xml:space="preserve">Image 1: </w:t>
      </w:r>
      <w:r w:rsidR="00516446">
        <w:t xml:space="preserve">Factors affecting </w:t>
      </w:r>
      <w:r w:rsidR="0014164F">
        <w:t>household</w:t>
      </w:r>
      <w:r w:rsidR="00516446">
        <w:t xml:space="preserve"> food insecurity in women of reproductive age</w:t>
      </w:r>
      <w:r w:rsidR="00DC3769">
        <w:t xml:space="preserve"> of South Asian countries.</w:t>
      </w:r>
    </w:p>
    <w:p w:rsidR="00FD4411" w:rsidRDefault="00FD4411" w:rsidP="00FD4411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257A31" w:rsidRPr="00100544" w:rsidRDefault="009E5218" w:rsidP="00100544">
      <w:pPr>
        <w:numPr>
          <w:ilvl w:val="0"/>
          <w:numId w:val="6"/>
        </w:numPr>
        <w:tabs>
          <w:tab w:val="left" w:pos="142"/>
        </w:tabs>
        <w:ind w:left="284" w:right="117" w:hanging="153"/>
        <w:jc w:val="both"/>
        <w:rPr>
          <w:rFonts w:eastAsia="Calibri" w:cs="Calibri"/>
          <w:sz w:val="18"/>
          <w:szCs w:val="18"/>
        </w:rPr>
      </w:pPr>
      <w:r w:rsidRPr="00100544">
        <w:rPr>
          <w:rFonts w:eastAsia="Calibri" w:cs="Calibri"/>
          <w:sz w:val="18"/>
          <w:szCs w:val="18"/>
        </w:rPr>
        <w:t xml:space="preserve">Rana, R., Menon, K., </w:t>
      </w:r>
      <w:proofErr w:type="spellStart"/>
      <w:r w:rsidRPr="00100544">
        <w:rPr>
          <w:rFonts w:eastAsia="Calibri" w:cs="Calibri"/>
          <w:sz w:val="18"/>
          <w:szCs w:val="18"/>
        </w:rPr>
        <w:t>Puthussery</w:t>
      </w:r>
      <w:proofErr w:type="spellEnd"/>
      <w:r w:rsidRPr="00100544">
        <w:rPr>
          <w:rFonts w:eastAsia="Calibri" w:cs="Calibri"/>
          <w:sz w:val="18"/>
          <w:szCs w:val="18"/>
        </w:rPr>
        <w:t xml:space="preserve">, S., </w:t>
      </w:r>
      <w:proofErr w:type="spellStart"/>
      <w:r w:rsidRPr="00100544">
        <w:rPr>
          <w:rFonts w:eastAsia="Calibri" w:cs="Calibri"/>
          <w:sz w:val="18"/>
          <w:szCs w:val="18"/>
        </w:rPr>
        <w:t>Ravalia</w:t>
      </w:r>
      <w:proofErr w:type="spellEnd"/>
      <w:r w:rsidRPr="00100544">
        <w:rPr>
          <w:rFonts w:eastAsia="Calibri" w:cs="Calibri"/>
          <w:sz w:val="18"/>
          <w:szCs w:val="18"/>
        </w:rPr>
        <w:t xml:space="preserve">, A., </w:t>
      </w:r>
      <w:r w:rsidRPr="00100544">
        <w:rPr>
          <w:rFonts w:eastAsia="Calibri" w:cs="Calibri"/>
          <w:b/>
          <w:bCs/>
          <w:sz w:val="18"/>
          <w:szCs w:val="18"/>
        </w:rPr>
        <w:t xml:space="preserve">Panchal, P., </w:t>
      </w:r>
      <w:proofErr w:type="spellStart"/>
      <w:r w:rsidRPr="00100544">
        <w:rPr>
          <w:rFonts w:eastAsia="Calibri" w:cs="Calibri"/>
          <w:sz w:val="18"/>
          <w:szCs w:val="18"/>
        </w:rPr>
        <w:t>Vaze</w:t>
      </w:r>
      <w:proofErr w:type="spellEnd"/>
      <w:r w:rsidRPr="00100544">
        <w:rPr>
          <w:rFonts w:eastAsia="Calibri" w:cs="Calibri"/>
          <w:sz w:val="18"/>
          <w:szCs w:val="18"/>
        </w:rPr>
        <w:t xml:space="preserve">, G., Tseng, P.C. and </w:t>
      </w:r>
      <w:proofErr w:type="spellStart"/>
      <w:r w:rsidRPr="00100544">
        <w:rPr>
          <w:rFonts w:eastAsia="Calibri" w:cs="Calibri"/>
          <w:sz w:val="18"/>
          <w:szCs w:val="18"/>
        </w:rPr>
        <w:t>Mavalankar</w:t>
      </w:r>
      <w:proofErr w:type="spellEnd"/>
      <w:r w:rsidRPr="00100544">
        <w:rPr>
          <w:rFonts w:eastAsia="Calibri" w:cs="Calibri"/>
          <w:sz w:val="18"/>
          <w:szCs w:val="18"/>
        </w:rPr>
        <w:t>, D., 2020. Effectiveness of nutrition interventions in low-and middle-income countries: A meta-review. </w:t>
      </w:r>
      <w:r w:rsidRPr="00100544">
        <w:rPr>
          <w:rFonts w:eastAsia="Calibri" w:cs="Calibri"/>
          <w:i/>
          <w:iCs/>
          <w:sz w:val="18"/>
          <w:szCs w:val="18"/>
        </w:rPr>
        <w:t>World Nutrition</w:t>
      </w:r>
      <w:r w:rsidRPr="00100544">
        <w:rPr>
          <w:rFonts w:eastAsia="Calibri" w:cs="Calibri"/>
          <w:sz w:val="18"/>
          <w:szCs w:val="18"/>
        </w:rPr>
        <w:t>, </w:t>
      </w:r>
      <w:r w:rsidRPr="00100544">
        <w:rPr>
          <w:rFonts w:eastAsia="Calibri" w:cs="Calibri"/>
          <w:i/>
          <w:iCs/>
          <w:sz w:val="18"/>
          <w:szCs w:val="18"/>
        </w:rPr>
        <w:t>11</w:t>
      </w:r>
      <w:r w:rsidRPr="00100544">
        <w:rPr>
          <w:rFonts w:eastAsia="Calibri" w:cs="Calibri"/>
          <w:sz w:val="18"/>
          <w:szCs w:val="18"/>
        </w:rPr>
        <w:t xml:space="preserve">(1), pp.165-189. </w:t>
      </w:r>
      <w:r w:rsidR="00100544">
        <w:rPr>
          <w:rFonts w:eastAsia="Calibri" w:cs="Calibri"/>
          <w:sz w:val="18"/>
          <w:szCs w:val="18"/>
        </w:rPr>
        <w:t>(Manuscript)</w:t>
      </w:r>
    </w:p>
    <w:p w:rsidR="00257A31" w:rsidRPr="00100544" w:rsidRDefault="009E5218" w:rsidP="00100544">
      <w:pPr>
        <w:numPr>
          <w:ilvl w:val="0"/>
          <w:numId w:val="6"/>
        </w:numPr>
        <w:tabs>
          <w:tab w:val="left" w:pos="142"/>
        </w:tabs>
        <w:ind w:left="284" w:right="117" w:hanging="153"/>
        <w:jc w:val="both"/>
        <w:rPr>
          <w:rFonts w:eastAsia="Calibri" w:cs="Calibri"/>
          <w:sz w:val="18"/>
          <w:szCs w:val="18"/>
        </w:rPr>
      </w:pPr>
      <w:proofErr w:type="spellStart"/>
      <w:r w:rsidRPr="00100544">
        <w:rPr>
          <w:rFonts w:eastAsia="Calibri" w:cs="Calibri"/>
          <w:sz w:val="18"/>
          <w:szCs w:val="18"/>
        </w:rPr>
        <w:t>Shanbhag</w:t>
      </w:r>
      <w:proofErr w:type="spellEnd"/>
      <w:r w:rsidRPr="00100544">
        <w:rPr>
          <w:rFonts w:eastAsia="Calibri" w:cs="Calibri"/>
          <w:sz w:val="18"/>
          <w:szCs w:val="18"/>
        </w:rPr>
        <w:t xml:space="preserve">, G., </w:t>
      </w:r>
      <w:r w:rsidRPr="00100544">
        <w:rPr>
          <w:rFonts w:eastAsia="Calibri" w:cs="Calibri"/>
          <w:b/>
          <w:bCs/>
          <w:sz w:val="18"/>
          <w:szCs w:val="18"/>
        </w:rPr>
        <w:t xml:space="preserve">Panchal P., </w:t>
      </w:r>
      <w:r w:rsidRPr="00100544">
        <w:rPr>
          <w:rFonts w:eastAsia="Calibri" w:cs="Calibri"/>
          <w:sz w:val="18"/>
          <w:szCs w:val="18"/>
        </w:rPr>
        <w:t>and Menon, K., 2019. Impact of Dietary Interventions on Anxiety, Depression and Stress–A Narrative Review. </w:t>
      </w:r>
      <w:r w:rsidRPr="00100544">
        <w:rPr>
          <w:rFonts w:eastAsia="Calibri" w:cs="Calibri"/>
          <w:i/>
          <w:iCs/>
          <w:sz w:val="18"/>
          <w:szCs w:val="18"/>
        </w:rPr>
        <w:t>Indian Journal of Public Health Research &amp; Development</w:t>
      </w:r>
      <w:r w:rsidRPr="00100544">
        <w:rPr>
          <w:rFonts w:eastAsia="Calibri" w:cs="Calibri"/>
          <w:sz w:val="18"/>
          <w:szCs w:val="18"/>
        </w:rPr>
        <w:t xml:space="preserve">, 10(7). </w:t>
      </w:r>
      <w:r w:rsidR="00100544">
        <w:rPr>
          <w:rFonts w:eastAsia="Calibri" w:cs="Calibri"/>
          <w:sz w:val="18"/>
          <w:szCs w:val="18"/>
        </w:rPr>
        <w:t>(Manuscript)</w:t>
      </w:r>
    </w:p>
    <w:p w:rsidR="00257A31" w:rsidRPr="00100544" w:rsidRDefault="009E5218" w:rsidP="00100544">
      <w:pPr>
        <w:numPr>
          <w:ilvl w:val="0"/>
          <w:numId w:val="6"/>
        </w:numPr>
        <w:tabs>
          <w:tab w:val="left" w:pos="142"/>
        </w:tabs>
        <w:ind w:left="284" w:right="117" w:hanging="153"/>
        <w:jc w:val="both"/>
        <w:rPr>
          <w:rFonts w:eastAsia="Calibri" w:cs="Calibri"/>
          <w:sz w:val="18"/>
          <w:szCs w:val="18"/>
        </w:rPr>
      </w:pPr>
      <w:r w:rsidRPr="00100544">
        <w:rPr>
          <w:rFonts w:eastAsia="Calibri" w:cs="Calibri"/>
          <w:b/>
          <w:bCs/>
          <w:sz w:val="18"/>
          <w:szCs w:val="18"/>
        </w:rPr>
        <w:t>Pooja Panchal</w:t>
      </w:r>
      <w:r w:rsidRPr="00100544">
        <w:rPr>
          <w:rFonts w:eastAsia="Calibri" w:cs="Calibri"/>
          <w:sz w:val="18"/>
          <w:szCs w:val="18"/>
        </w:rPr>
        <w:t>, Kavitha Menon, 2019; “Zinc deficiency”; The Purple Book – A Handbook on Diets for Diets for Disease, Food Safety and Standards Authority of India, Ministry of Health and Family Welfare; Edition 1</w:t>
      </w:r>
      <w:r w:rsidR="00100544" w:rsidRPr="00100544">
        <w:rPr>
          <w:rFonts w:eastAsia="Calibri" w:cs="Calibri"/>
          <w:sz w:val="18"/>
          <w:szCs w:val="18"/>
        </w:rPr>
        <w:t>(Book chapter)</w:t>
      </w:r>
    </w:p>
    <w:p w:rsidR="00257A31" w:rsidRPr="00100544" w:rsidRDefault="009E5218" w:rsidP="00100544">
      <w:pPr>
        <w:numPr>
          <w:ilvl w:val="0"/>
          <w:numId w:val="6"/>
        </w:numPr>
        <w:tabs>
          <w:tab w:val="left" w:pos="142"/>
        </w:tabs>
        <w:ind w:left="284" w:right="117" w:hanging="153"/>
        <w:jc w:val="both"/>
        <w:rPr>
          <w:rFonts w:eastAsia="Calibri" w:cs="Calibri"/>
          <w:sz w:val="18"/>
          <w:szCs w:val="18"/>
        </w:rPr>
      </w:pPr>
      <w:r w:rsidRPr="00100544">
        <w:rPr>
          <w:rFonts w:eastAsia="Calibri" w:cs="Calibri"/>
          <w:b/>
          <w:bCs/>
          <w:sz w:val="18"/>
          <w:szCs w:val="18"/>
        </w:rPr>
        <w:t>Pooja Panchal</w:t>
      </w:r>
      <w:r w:rsidRPr="00100544">
        <w:rPr>
          <w:rFonts w:eastAsia="Calibri" w:cs="Calibri"/>
          <w:sz w:val="18"/>
          <w:szCs w:val="18"/>
        </w:rPr>
        <w:t xml:space="preserve">, </w:t>
      </w:r>
      <w:proofErr w:type="spellStart"/>
      <w:r w:rsidRPr="00100544">
        <w:rPr>
          <w:rFonts w:eastAsia="Calibri" w:cs="Calibri"/>
          <w:sz w:val="18"/>
          <w:szCs w:val="18"/>
        </w:rPr>
        <w:t>Surabhi</w:t>
      </w:r>
      <w:proofErr w:type="spellEnd"/>
      <w:r w:rsidRPr="00100544">
        <w:rPr>
          <w:rFonts w:eastAsia="Calibri" w:cs="Calibri"/>
          <w:sz w:val="18"/>
          <w:szCs w:val="18"/>
        </w:rPr>
        <w:t xml:space="preserve"> Singh, </w:t>
      </w:r>
      <w:proofErr w:type="spellStart"/>
      <w:r w:rsidRPr="00100544">
        <w:rPr>
          <w:rFonts w:eastAsia="Calibri" w:cs="Calibri"/>
          <w:sz w:val="18"/>
          <w:szCs w:val="18"/>
        </w:rPr>
        <w:t>Rajashri</w:t>
      </w:r>
      <w:proofErr w:type="spellEnd"/>
      <w:r w:rsidRPr="00100544">
        <w:rPr>
          <w:rFonts w:eastAsia="Calibri" w:cs="Calibri"/>
          <w:sz w:val="18"/>
          <w:szCs w:val="18"/>
        </w:rPr>
        <w:t xml:space="preserve"> </w:t>
      </w:r>
      <w:proofErr w:type="spellStart"/>
      <w:r w:rsidRPr="00100544">
        <w:rPr>
          <w:rFonts w:eastAsia="Calibri" w:cs="Calibri"/>
          <w:sz w:val="18"/>
          <w:szCs w:val="18"/>
        </w:rPr>
        <w:t>Banerji</w:t>
      </w:r>
      <w:proofErr w:type="spellEnd"/>
      <w:r w:rsidRPr="00100544">
        <w:rPr>
          <w:rFonts w:eastAsia="Calibri" w:cs="Calibri"/>
          <w:sz w:val="18"/>
          <w:szCs w:val="18"/>
        </w:rPr>
        <w:t xml:space="preserve">, Sunil </w:t>
      </w:r>
      <w:proofErr w:type="spellStart"/>
      <w:r w:rsidRPr="00100544">
        <w:rPr>
          <w:rFonts w:eastAsia="Calibri" w:cs="Calibri"/>
          <w:sz w:val="18"/>
          <w:szCs w:val="18"/>
        </w:rPr>
        <w:t>Saroj</w:t>
      </w:r>
      <w:proofErr w:type="spellEnd"/>
      <w:r w:rsidRPr="00100544">
        <w:rPr>
          <w:rFonts w:eastAsia="Calibri" w:cs="Calibri"/>
          <w:sz w:val="18"/>
          <w:szCs w:val="18"/>
        </w:rPr>
        <w:t xml:space="preserve">, Kavitha Menon, </w:t>
      </w:r>
      <w:proofErr w:type="spellStart"/>
      <w:r w:rsidRPr="00100544">
        <w:rPr>
          <w:rFonts w:eastAsia="Calibri" w:cs="Calibri"/>
          <w:sz w:val="18"/>
          <w:szCs w:val="18"/>
        </w:rPr>
        <w:t>Vinaykumar</w:t>
      </w:r>
      <w:proofErr w:type="spellEnd"/>
      <w:r w:rsidRPr="00100544">
        <w:rPr>
          <w:rFonts w:eastAsia="Calibri" w:cs="Calibri"/>
          <w:sz w:val="18"/>
          <w:szCs w:val="18"/>
        </w:rPr>
        <w:t xml:space="preserve"> </w:t>
      </w:r>
      <w:proofErr w:type="spellStart"/>
      <w:r w:rsidRPr="00100544">
        <w:rPr>
          <w:rFonts w:eastAsia="Calibri" w:cs="Calibri"/>
          <w:sz w:val="18"/>
          <w:szCs w:val="18"/>
        </w:rPr>
        <w:t>Rale</w:t>
      </w:r>
      <w:proofErr w:type="spellEnd"/>
      <w:r w:rsidRPr="00100544">
        <w:rPr>
          <w:rFonts w:eastAsia="Calibri" w:cs="Calibri"/>
          <w:sz w:val="18"/>
          <w:szCs w:val="18"/>
        </w:rPr>
        <w:t xml:space="preserve"> and </w:t>
      </w:r>
      <w:proofErr w:type="spellStart"/>
      <w:r w:rsidRPr="00100544">
        <w:rPr>
          <w:rFonts w:eastAsia="Calibri" w:cs="Calibri"/>
          <w:sz w:val="18"/>
          <w:szCs w:val="18"/>
        </w:rPr>
        <w:t>Kalidas</w:t>
      </w:r>
      <w:proofErr w:type="spellEnd"/>
      <w:r w:rsidRPr="00100544">
        <w:rPr>
          <w:rFonts w:eastAsia="Calibri" w:cs="Calibri"/>
          <w:sz w:val="18"/>
          <w:szCs w:val="18"/>
        </w:rPr>
        <w:t xml:space="preserve"> Shetty, 2019; “The potential Roles and Implications of Microbiota on Maternal and Child Health”; </w:t>
      </w:r>
      <w:r w:rsidRPr="00100544">
        <w:rPr>
          <w:rFonts w:eastAsia="Calibri" w:cs="Calibri"/>
          <w:i/>
          <w:iCs/>
          <w:sz w:val="18"/>
          <w:szCs w:val="18"/>
        </w:rPr>
        <w:t xml:space="preserve">Functional Foods and Biotechnology, Taylor and Francis </w:t>
      </w:r>
      <w:r w:rsidRPr="00100544">
        <w:rPr>
          <w:rFonts w:eastAsia="Calibri" w:cs="Calibri"/>
          <w:sz w:val="18"/>
          <w:szCs w:val="18"/>
        </w:rPr>
        <w:t>Group; Vol.1</w:t>
      </w:r>
      <w:r w:rsidR="00100544">
        <w:rPr>
          <w:rFonts w:eastAsia="Calibri" w:cs="Calibri"/>
          <w:sz w:val="18"/>
          <w:szCs w:val="18"/>
        </w:rPr>
        <w:t xml:space="preserve"> (Book chapter)</w:t>
      </w:r>
    </w:p>
    <w:p w:rsidR="00FD4411" w:rsidRPr="00100544" w:rsidRDefault="00100544" w:rsidP="00FD4411">
      <w:pPr>
        <w:numPr>
          <w:ilvl w:val="0"/>
          <w:numId w:val="6"/>
        </w:numPr>
        <w:tabs>
          <w:tab w:val="left" w:pos="142"/>
        </w:tabs>
        <w:ind w:left="284" w:right="117" w:hanging="153"/>
        <w:jc w:val="both"/>
        <w:rPr>
          <w:rFonts w:eastAsia="Calibri" w:cs="Calibri"/>
          <w:sz w:val="18"/>
          <w:szCs w:val="18"/>
        </w:rPr>
      </w:pPr>
      <w:r w:rsidRPr="00100544">
        <w:rPr>
          <w:sz w:val="18"/>
          <w:szCs w:val="18"/>
        </w:rPr>
        <w:t xml:space="preserve">Menon K, </w:t>
      </w:r>
      <w:proofErr w:type="spellStart"/>
      <w:r w:rsidRPr="00100544">
        <w:rPr>
          <w:sz w:val="18"/>
          <w:szCs w:val="18"/>
        </w:rPr>
        <w:t>Puthussery</w:t>
      </w:r>
      <w:proofErr w:type="spellEnd"/>
      <w:r w:rsidRPr="00100544">
        <w:rPr>
          <w:sz w:val="18"/>
          <w:szCs w:val="18"/>
        </w:rPr>
        <w:t xml:space="preserve"> S, </w:t>
      </w:r>
      <w:proofErr w:type="spellStart"/>
      <w:r w:rsidRPr="00100544">
        <w:rPr>
          <w:sz w:val="18"/>
          <w:szCs w:val="18"/>
        </w:rPr>
        <w:t>Ravalia</w:t>
      </w:r>
      <w:proofErr w:type="spellEnd"/>
      <w:r w:rsidRPr="00100544">
        <w:rPr>
          <w:sz w:val="18"/>
          <w:szCs w:val="18"/>
        </w:rPr>
        <w:t xml:space="preserve"> A, </w:t>
      </w:r>
      <w:r w:rsidRPr="00100544">
        <w:rPr>
          <w:b/>
          <w:bCs/>
          <w:sz w:val="18"/>
          <w:szCs w:val="18"/>
        </w:rPr>
        <w:t>Panchal P</w:t>
      </w:r>
      <w:r w:rsidRPr="00100544">
        <w:rPr>
          <w:sz w:val="18"/>
          <w:szCs w:val="18"/>
        </w:rPr>
        <w:t xml:space="preserve">, Rana R, Mistry S, Tseng P, </w:t>
      </w:r>
      <w:proofErr w:type="spellStart"/>
      <w:r w:rsidRPr="00100544">
        <w:rPr>
          <w:sz w:val="18"/>
          <w:szCs w:val="18"/>
        </w:rPr>
        <w:t>Bhandol</w:t>
      </w:r>
      <w:proofErr w:type="spellEnd"/>
      <w:r w:rsidRPr="00100544">
        <w:rPr>
          <w:sz w:val="18"/>
          <w:szCs w:val="18"/>
        </w:rPr>
        <w:t xml:space="preserve"> J, </w:t>
      </w:r>
      <w:proofErr w:type="spellStart"/>
      <w:r w:rsidRPr="00100544">
        <w:rPr>
          <w:sz w:val="18"/>
          <w:szCs w:val="18"/>
        </w:rPr>
        <w:t>Mavalankar</w:t>
      </w:r>
      <w:proofErr w:type="spellEnd"/>
      <w:r w:rsidRPr="00100544">
        <w:rPr>
          <w:sz w:val="18"/>
          <w:szCs w:val="18"/>
        </w:rPr>
        <w:t xml:space="preserve"> D (2018), </w:t>
      </w:r>
      <w:r w:rsidRPr="00100544">
        <w:rPr>
          <w:i/>
          <w:iCs/>
          <w:sz w:val="18"/>
          <w:szCs w:val="18"/>
        </w:rPr>
        <w:t>Effectiveness of nutrition interventions in low and middle income countries: An evidence summary</w:t>
      </w:r>
      <w:r w:rsidRPr="00100544">
        <w:rPr>
          <w:sz w:val="18"/>
          <w:szCs w:val="18"/>
        </w:rPr>
        <w:t>. Indian Institute of Public Health Gandhinagar; Public Health Foundation of India; University of Bedfordshire, UK and BRAC, Bangladesh.</w:t>
      </w:r>
      <w:r>
        <w:rPr>
          <w:sz w:val="18"/>
          <w:szCs w:val="18"/>
        </w:rPr>
        <w:t xml:space="preserve"> (Report)</w:t>
      </w:r>
    </w:p>
    <w:p w:rsidR="00FD4411" w:rsidRDefault="00FD4411" w:rsidP="00FD4411">
      <w:pPr>
        <w:spacing w:line="200" w:lineRule="exact"/>
        <w:jc w:val="both"/>
        <w:rPr>
          <w:rFonts w:ascii="Calibri" w:hAnsi="Calibri"/>
        </w:rPr>
      </w:pPr>
    </w:p>
    <w:p w:rsidR="00FD4411" w:rsidRDefault="00FD4411" w:rsidP="00FD4411">
      <w:pPr>
        <w:widowControl/>
        <w:rPr>
          <w:rFonts w:ascii="Calibri" w:hAnsi="Calibri"/>
        </w:rPr>
        <w:sectPr w:rsidR="00FD4411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FD4411" w:rsidRDefault="00C870D8" w:rsidP="00FD4411">
      <w:pPr>
        <w:pStyle w:val="BodyText"/>
        <w:spacing w:line="40" w:lineRule="exact"/>
        <w:ind w:left="2202"/>
        <w:rPr>
          <w:rFonts w:ascii="Calibri"/>
          <w:sz w:val="4"/>
        </w:rPr>
      </w:pPr>
      <w:r w:rsidRPr="00C870D8">
        <w:rPr>
          <w:noProof/>
          <w:lang w:val="en-IN" w:eastAsia="en-IN"/>
        </w:rPr>
      </w:r>
      <w:r w:rsidRPr="00C870D8">
        <w:rPr>
          <w:noProof/>
          <w:lang w:val="en-IN" w:eastAsia="en-IN"/>
        </w:rPr>
        <w:pict>
          <v:group id="Group 14" o:spid="_x0000_s1027" alt="" style="width:313.05pt;height:2pt;mso-position-horizontal-relative:char;mso-position-vertical-relative:line" coordorigin="20,20" coordsize="6221,0">
            <v:line id="Line 5" o:spid="_x0000_s1028" alt="" style="position:absolute;visibility:visible" from="20,20" to="6241,20" o:connectortype="straight" strokecolor="#004080" strokeweight="2pt"/>
            <w10:wrap type="none"/>
            <w10:anchorlock/>
          </v:group>
        </w:pict>
      </w:r>
    </w:p>
    <w:p w:rsidR="00FD4411" w:rsidRDefault="0039723D" w:rsidP="00FD4411">
      <w:pPr>
        <w:spacing w:before="92"/>
        <w:ind w:right="4234"/>
        <w:rPr>
          <w:rFonts w:ascii="Arial"/>
        </w:rPr>
      </w:pPr>
      <w:r>
        <w:rPr>
          <w:rFonts w:ascii="Arial"/>
          <w:noProof/>
          <w:color w:val="BF5A14"/>
          <w:lang w:bidi="mr-IN"/>
        </w:rPr>
        <w:drawing>
          <wp:inline distT="0" distB="0" distL="0" distR="0">
            <wp:extent cx="1040130" cy="1040130"/>
            <wp:effectExtent l="19050" t="0" r="7620" b="0"/>
            <wp:docPr id="2" name="Picture 2" descr="G:\phone\15474627439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phone\154746274393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139" cy="10411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D4411">
        <w:rPr>
          <w:rFonts w:ascii="Arial"/>
          <w:color w:val="BF5A14"/>
        </w:rPr>
        <w:t>Biography (150 word limit)</w:t>
      </w:r>
    </w:p>
    <w:p w:rsidR="00FD4411" w:rsidRDefault="00DC3769" w:rsidP="00FD4411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Pooja Panchal is a doctoral senior research fellow at Nutrition and Dietetics department, Symbiosis International (Deemed University). She has an MSc.in Public Health and Nutrition from the Maharaja </w:t>
      </w:r>
      <w:proofErr w:type="spellStart"/>
      <w:r>
        <w:rPr>
          <w:rFonts w:ascii="Arial"/>
          <w:sz w:val="14"/>
        </w:rPr>
        <w:t>Sayajirao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Gayekwad</w:t>
      </w:r>
      <w:proofErr w:type="spellEnd"/>
      <w:r>
        <w:rPr>
          <w:rFonts w:ascii="Arial"/>
          <w:sz w:val="14"/>
        </w:rPr>
        <w:t xml:space="preserve"> University of Baroda, India. </w:t>
      </w:r>
      <w:r w:rsidR="0039723D">
        <w:rPr>
          <w:rFonts w:ascii="Arial"/>
          <w:sz w:val="14"/>
        </w:rPr>
        <w:t xml:space="preserve">The research area of interest is majorly focusing on reproductive age women and its nutritional status assessment using various dimensions. </w:t>
      </w:r>
    </w:p>
    <w:p w:rsidR="00FD4411" w:rsidRDefault="00687317" w:rsidP="0039723D">
      <w:pPr>
        <w:spacing w:before="62"/>
        <w:ind w:left="4217" w:right="3177"/>
        <w:jc w:val="center"/>
        <w:rPr>
          <w:rFonts w:ascii="Arial"/>
          <w:sz w:val="14"/>
        </w:rPr>
      </w:pPr>
      <w:r>
        <w:rPr>
          <w:rFonts w:ascii="Arial"/>
          <w:sz w:val="14"/>
        </w:rPr>
        <w:t>*</w:t>
      </w:r>
      <w:r w:rsidR="0039723D">
        <w:rPr>
          <w:rFonts w:ascii="Arial"/>
          <w:sz w:val="14"/>
        </w:rPr>
        <w:t xml:space="preserve">Corresponding author </w:t>
      </w:r>
      <w:r>
        <w:rPr>
          <w:rFonts w:ascii="Arial"/>
          <w:sz w:val="14"/>
        </w:rPr>
        <w:t>e</w:t>
      </w:r>
      <w:r w:rsidR="00FD4411">
        <w:rPr>
          <w:rFonts w:ascii="Arial"/>
          <w:sz w:val="14"/>
        </w:rPr>
        <w:t xml:space="preserve">mail: </w:t>
      </w:r>
      <w:hyperlink r:id="rId7" w:history="1">
        <w:r w:rsidR="0039723D" w:rsidRPr="00221F71">
          <w:rPr>
            <w:rStyle w:val="Hyperlink"/>
            <w:rFonts w:ascii="Arial"/>
            <w:sz w:val="14"/>
          </w:rPr>
          <w:t>kavitha@sihspune.org</w:t>
        </w:r>
      </w:hyperlink>
    </w:p>
    <w:p w:rsidR="00FD4411" w:rsidRDefault="00C870D8" w:rsidP="00FD4411">
      <w:pPr>
        <w:pStyle w:val="BodyText"/>
        <w:spacing w:before="2"/>
        <w:rPr>
          <w:rFonts w:ascii="Arial"/>
          <w:sz w:val="19"/>
        </w:rPr>
      </w:pPr>
      <w:r w:rsidRPr="00C870D8">
        <w:rPr>
          <w:noProof/>
        </w:rPr>
        <w:pict>
          <v:line id="Straight Connector 13" o:spid="_x0000_s1026" style="position:absolute;z-index:251658240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" strokecolor="#004080" strokeweight=".5pt">
            <w10:wrap type="topAndBottom" anchorx="page"/>
          </v:line>
        </w:pict>
      </w:r>
    </w:p>
    <w:p w:rsidR="00FD4411" w:rsidRDefault="00FD4411" w:rsidP="00FD4411">
      <w:pPr>
        <w:pStyle w:val="BodyText"/>
        <w:rPr>
          <w:rFonts w:ascii="Arial"/>
          <w:sz w:val="20"/>
        </w:rPr>
      </w:pPr>
    </w:p>
    <w:p w:rsidR="00FD4411" w:rsidRPr="0039723D" w:rsidRDefault="0039723D" w:rsidP="0039723D">
      <w:pPr>
        <w:spacing w:before="39"/>
        <w:ind w:left="100"/>
        <w:rPr>
          <w:rFonts w:ascii="Minion Pro"/>
          <w:b/>
          <w:sz w:val="20"/>
        </w:rPr>
        <w:sectPr w:rsidR="00FD4411" w:rsidRPr="0039723D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b/>
          <w:sz w:val="20"/>
        </w:rPr>
        <w:t>Notes/Comments</w:t>
      </w:r>
    </w:p>
    <w:p w:rsidR="00FD4411" w:rsidRDefault="00FD4411" w:rsidP="00FD4411">
      <w:pPr>
        <w:pStyle w:val="BodyText"/>
        <w:spacing w:before="3"/>
        <w:rPr>
          <w:rFonts w:ascii="Minion Pro"/>
          <w:sz w:val="26"/>
        </w:rPr>
      </w:pPr>
    </w:p>
    <w:p w:rsidR="00B77E33" w:rsidRDefault="00B77E33"/>
    <w:sectPr w:rsidR="00B77E33" w:rsidSect="005C46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8.65pt;height:8.65pt" o:bullet="t">
        <v:imagedata r:id="rId1" o:title="artEBF8"/>
      </v:shape>
    </w:pict>
  </w:numPicBullet>
  <w:abstractNum w:abstractNumId="0">
    <w:nsid w:val="03B74419"/>
    <w:multiLevelType w:val="hybridMultilevel"/>
    <w:tmpl w:val="7E4A3A2C"/>
    <w:lvl w:ilvl="0" w:tplc="F690896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CBC06A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A221E6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D6AF03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048801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7942F4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44E84D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C0E959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2200FE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16573E70"/>
    <w:multiLevelType w:val="hybridMultilevel"/>
    <w:tmpl w:val="2D4C3AB6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17D85DDB"/>
    <w:multiLevelType w:val="hybridMultilevel"/>
    <w:tmpl w:val="EC948F06"/>
    <w:lvl w:ilvl="0" w:tplc="6246935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058239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C5E442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CD07DC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510EFD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F3843D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8BAA94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C0C92B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2DC942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1BAE20FB"/>
    <w:multiLevelType w:val="hybridMultilevel"/>
    <w:tmpl w:val="094CF5CA"/>
    <w:lvl w:ilvl="0" w:tplc="F668ADA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8BA95C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83CB1C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0C2736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A440CB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B90483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A6249F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B0668F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F9A1B8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</w:lvl>
    <w:lvl w:ilvl="2" w:tplc="9E4C3810">
      <w:start w:val="1"/>
      <w:numFmt w:val="bullet"/>
      <w:lvlText w:val="•"/>
      <w:lvlJc w:val="left"/>
      <w:pPr>
        <w:ind w:left="1374" w:hanging="284"/>
      </w:pPr>
    </w:lvl>
    <w:lvl w:ilvl="3" w:tplc="27FEBB2C">
      <w:start w:val="1"/>
      <w:numFmt w:val="bullet"/>
      <w:lvlText w:val="•"/>
      <w:lvlJc w:val="left"/>
      <w:pPr>
        <w:ind w:left="1871" w:hanging="284"/>
      </w:pPr>
    </w:lvl>
    <w:lvl w:ilvl="4" w:tplc="40E042A8">
      <w:start w:val="1"/>
      <w:numFmt w:val="bullet"/>
      <w:lvlText w:val="•"/>
      <w:lvlJc w:val="left"/>
      <w:pPr>
        <w:ind w:left="2369" w:hanging="284"/>
      </w:pPr>
    </w:lvl>
    <w:lvl w:ilvl="5" w:tplc="80EC61F2">
      <w:start w:val="1"/>
      <w:numFmt w:val="bullet"/>
      <w:lvlText w:val="•"/>
      <w:lvlJc w:val="left"/>
      <w:pPr>
        <w:ind w:left="2866" w:hanging="284"/>
      </w:pPr>
    </w:lvl>
    <w:lvl w:ilvl="6" w:tplc="F60232E2">
      <w:start w:val="1"/>
      <w:numFmt w:val="bullet"/>
      <w:lvlText w:val="•"/>
      <w:lvlJc w:val="left"/>
      <w:pPr>
        <w:ind w:left="3363" w:hanging="284"/>
      </w:pPr>
    </w:lvl>
    <w:lvl w:ilvl="7" w:tplc="69AE9EC2">
      <w:start w:val="1"/>
      <w:numFmt w:val="bullet"/>
      <w:lvlText w:val="•"/>
      <w:lvlJc w:val="left"/>
      <w:pPr>
        <w:ind w:left="3860" w:hanging="284"/>
      </w:pPr>
    </w:lvl>
    <w:lvl w:ilvl="8" w:tplc="16D69236">
      <w:start w:val="1"/>
      <w:numFmt w:val="bullet"/>
      <w:lvlText w:val="•"/>
      <w:lvlJc w:val="left"/>
      <w:pPr>
        <w:ind w:left="4358" w:hanging="284"/>
      </w:pPr>
    </w:lvl>
  </w:abstractNum>
  <w:abstractNum w:abstractNumId="5">
    <w:nsid w:val="4E3B6214"/>
    <w:multiLevelType w:val="hybridMultilevel"/>
    <w:tmpl w:val="ED6A9D5A"/>
    <w:lvl w:ilvl="0" w:tplc="1F5A163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AB4AA8A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6DC6B4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B1633D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2CA7A8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FCAB18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CA852A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28CEC4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41A12F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5"/>
  </w:num>
  <w:num w:numId="3">
    <w:abstractNumId w:val="2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20"/>
  <w:characterSpacingControl w:val="doNotCompress"/>
  <w:compat/>
  <w:rsids>
    <w:rsidRoot w:val="00FD4411"/>
    <w:rsid w:val="00100544"/>
    <w:rsid w:val="0014164F"/>
    <w:rsid w:val="00227675"/>
    <w:rsid w:val="00245B11"/>
    <w:rsid w:val="00257A31"/>
    <w:rsid w:val="002E02D6"/>
    <w:rsid w:val="002F63D3"/>
    <w:rsid w:val="00300BFC"/>
    <w:rsid w:val="0039723D"/>
    <w:rsid w:val="004173A2"/>
    <w:rsid w:val="00504F4E"/>
    <w:rsid w:val="00516446"/>
    <w:rsid w:val="00572FBD"/>
    <w:rsid w:val="005C4658"/>
    <w:rsid w:val="00687317"/>
    <w:rsid w:val="006F5653"/>
    <w:rsid w:val="008931AB"/>
    <w:rsid w:val="008C16EB"/>
    <w:rsid w:val="009C7B09"/>
    <w:rsid w:val="009E5218"/>
    <w:rsid w:val="00A17A5D"/>
    <w:rsid w:val="00A5203C"/>
    <w:rsid w:val="00B77E33"/>
    <w:rsid w:val="00BE733C"/>
    <w:rsid w:val="00BF0D8B"/>
    <w:rsid w:val="00C870D8"/>
    <w:rsid w:val="00CA6F13"/>
    <w:rsid w:val="00D7279B"/>
    <w:rsid w:val="00DC3769"/>
    <w:rsid w:val="00F26B45"/>
    <w:rsid w:val="00FB06A5"/>
    <w:rsid w:val="00FB360A"/>
    <w:rsid w:val="00FD44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D4411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Heading1">
    <w:name w:val="heading 1"/>
    <w:basedOn w:val="Normal"/>
    <w:link w:val="Heading1Char"/>
    <w:uiPriority w:val="1"/>
    <w:qFormat/>
    <w:rsid w:val="00FD4411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1"/>
    <w:semiHidden/>
    <w:unhideWhenUsed/>
    <w:qFormat/>
    <w:rsid w:val="00FD4411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FD4411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Heading3Char">
    <w:name w:val="Heading 3 Char"/>
    <w:basedOn w:val="DefaultParagraphFont"/>
    <w:link w:val="Heading3"/>
    <w:uiPriority w:val="1"/>
    <w:semiHidden/>
    <w:rsid w:val="00FD4411"/>
    <w:rPr>
      <w:rFonts w:ascii="Arial" w:eastAsia="Arial" w:hAnsi="Arial" w:cs="Arial"/>
      <w:b/>
      <w:bCs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FD4411"/>
    <w:rPr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1"/>
    <w:unhideWhenUsed/>
    <w:qFormat/>
    <w:rsid w:val="00FD4411"/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FD4411"/>
    <w:rPr>
      <w:rFonts w:ascii="Tw Cen MT" w:eastAsia="Tw Cen MT" w:hAnsi="Tw Cen MT" w:cs="Tw Cen MT"/>
      <w:sz w:val="18"/>
      <w:szCs w:val="18"/>
      <w:lang w:val="en-US"/>
    </w:rPr>
  </w:style>
  <w:style w:type="paragraph" w:styleId="ListParagraph">
    <w:name w:val="List Paragraph"/>
    <w:basedOn w:val="Normal"/>
    <w:uiPriority w:val="1"/>
    <w:qFormat/>
    <w:rsid w:val="00FD4411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4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411"/>
    <w:rPr>
      <w:rFonts w:ascii="Tahoma" w:eastAsia="Tw Cen MT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1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3539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853096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7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79815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57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avitha@sihspun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676</Words>
  <Characters>3857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Chem Bio</dc:creator>
  <cp:lastModifiedBy>Pooja Panchal</cp:lastModifiedBy>
  <cp:revision>10</cp:revision>
  <dcterms:created xsi:type="dcterms:W3CDTF">2020-09-05T06:08:00Z</dcterms:created>
  <dcterms:modified xsi:type="dcterms:W3CDTF">2020-09-17T03:56:00Z</dcterms:modified>
</cp:coreProperties>
</file>