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A3A" w:rsidRDefault="00CE4A3A" w:rsidP="00CE4A3A">
      <w:pPr>
        <w:rPr>
          <w:rFonts w:ascii="Cambria" w:hAnsi="Cambria"/>
          <w:b/>
          <w:bCs/>
          <w:color w:val="4F81BD"/>
          <w:sz w:val="26"/>
          <w:szCs w:val="26"/>
          <w:shd w:val="clear" w:color="auto" w:fill="FFFFFF"/>
        </w:rPr>
      </w:pPr>
      <w:r>
        <w:rPr>
          <w:rFonts w:ascii="Cambria" w:hAnsi="Cambria"/>
          <w:b/>
          <w:bCs/>
          <w:color w:val="4F81BD"/>
          <w:sz w:val="26"/>
          <w:szCs w:val="26"/>
          <w:shd w:val="clear" w:color="auto" w:fill="FFFFFF"/>
        </w:rPr>
        <w:t xml:space="preserve">Radial access mechanical </w:t>
      </w:r>
      <w:proofErr w:type="spellStart"/>
      <w:r>
        <w:rPr>
          <w:rFonts w:ascii="Cambria" w:hAnsi="Cambria"/>
          <w:b/>
          <w:bCs/>
          <w:color w:val="4F81BD"/>
          <w:sz w:val="26"/>
          <w:szCs w:val="26"/>
          <w:shd w:val="clear" w:color="auto" w:fill="FFFFFF"/>
        </w:rPr>
        <w:t>thrombectomy</w:t>
      </w:r>
      <w:proofErr w:type="spellEnd"/>
      <w:r>
        <w:rPr>
          <w:rFonts w:ascii="Cambria" w:hAnsi="Cambria"/>
          <w:b/>
          <w:bCs/>
          <w:color w:val="4F81BD"/>
          <w:sz w:val="26"/>
          <w:szCs w:val="26"/>
          <w:shd w:val="clear" w:color="auto" w:fill="FFFFFF"/>
        </w:rPr>
        <w:t>: A case series</w:t>
      </w:r>
    </w:p>
    <w:p w:rsidR="00CE4A3A" w:rsidRPr="00CE4A3A" w:rsidRDefault="00CE4A3A" w:rsidP="00CE4A3A">
      <w:pPr>
        <w:rPr>
          <w:rFonts w:ascii="Cambria" w:hAnsi="Cambria"/>
          <w:bCs/>
          <w:sz w:val="20"/>
          <w:szCs w:val="26"/>
          <w:shd w:val="clear" w:color="auto" w:fill="FFFFFF"/>
        </w:rPr>
      </w:pPr>
      <w:proofErr w:type="spellStart"/>
      <w:r w:rsidRPr="00CE4A3A">
        <w:rPr>
          <w:rFonts w:ascii="Cambria" w:hAnsi="Cambria"/>
          <w:bCs/>
          <w:sz w:val="20"/>
          <w:szCs w:val="26"/>
          <w:shd w:val="clear" w:color="auto" w:fill="FFFFFF"/>
        </w:rPr>
        <w:t>Mahrukh</w:t>
      </w:r>
      <w:proofErr w:type="spellEnd"/>
      <w:r w:rsidRPr="00CE4A3A">
        <w:rPr>
          <w:rFonts w:ascii="Cambria" w:hAnsi="Cambria"/>
          <w:bCs/>
          <w:sz w:val="20"/>
          <w:szCs w:val="26"/>
          <w:shd w:val="clear" w:color="auto" w:fill="FFFFFF"/>
        </w:rPr>
        <w:t xml:space="preserve"> </w:t>
      </w:r>
      <w:proofErr w:type="spellStart"/>
      <w:r w:rsidRPr="00CE4A3A">
        <w:rPr>
          <w:rFonts w:ascii="Cambria" w:hAnsi="Cambria"/>
          <w:bCs/>
          <w:sz w:val="20"/>
          <w:szCs w:val="26"/>
          <w:shd w:val="clear" w:color="auto" w:fill="FFFFFF"/>
        </w:rPr>
        <w:t>Rehman</w:t>
      </w:r>
      <w:proofErr w:type="spellEnd"/>
      <w:r w:rsidRPr="00CE4A3A">
        <w:rPr>
          <w:rFonts w:ascii="Cambria" w:hAnsi="Cambria"/>
          <w:bCs/>
          <w:sz w:val="20"/>
          <w:szCs w:val="26"/>
          <w:shd w:val="clear" w:color="auto" w:fill="FFFFFF"/>
        </w:rPr>
        <w:t xml:space="preserve"> Khan,</w:t>
      </w:r>
      <w:r w:rsidR="005C7E4A">
        <w:rPr>
          <w:rFonts w:ascii="Cambria" w:hAnsi="Cambria"/>
          <w:bCs/>
          <w:sz w:val="20"/>
          <w:szCs w:val="26"/>
          <w:shd w:val="clear" w:color="auto" w:fill="FFFFFF"/>
        </w:rPr>
        <w:t xml:space="preserve"> </w:t>
      </w:r>
      <w:proofErr w:type="spellStart"/>
      <w:r w:rsidRPr="00CE4A3A">
        <w:rPr>
          <w:rFonts w:ascii="Cambria" w:hAnsi="Cambria"/>
          <w:bCs/>
          <w:sz w:val="20"/>
          <w:szCs w:val="26"/>
          <w:shd w:val="clear" w:color="auto" w:fill="FFFFFF"/>
        </w:rPr>
        <w:t>Zafar</w:t>
      </w:r>
      <w:proofErr w:type="spellEnd"/>
      <w:r w:rsidRPr="00CE4A3A">
        <w:rPr>
          <w:rFonts w:ascii="Cambria" w:hAnsi="Cambria"/>
          <w:bCs/>
          <w:sz w:val="20"/>
          <w:szCs w:val="26"/>
          <w:shd w:val="clear" w:color="auto" w:fill="FFFFFF"/>
        </w:rPr>
        <w:t xml:space="preserve"> </w:t>
      </w:r>
      <w:proofErr w:type="spellStart"/>
      <w:r w:rsidRPr="00CE4A3A">
        <w:rPr>
          <w:rFonts w:ascii="Cambria" w:hAnsi="Cambria"/>
          <w:bCs/>
          <w:sz w:val="20"/>
          <w:szCs w:val="26"/>
          <w:shd w:val="clear" w:color="auto" w:fill="FFFFFF"/>
        </w:rPr>
        <w:t>Hashim</w:t>
      </w:r>
      <w:proofErr w:type="spellEnd"/>
      <w:r w:rsidRPr="00CE4A3A">
        <w:rPr>
          <w:rFonts w:ascii="Cambria" w:hAnsi="Cambria"/>
          <w:bCs/>
          <w:sz w:val="20"/>
          <w:szCs w:val="26"/>
          <w:shd w:val="clear" w:color="auto" w:fill="FFFFFF"/>
        </w:rPr>
        <w:t>,</w:t>
      </w:r>
      <w:r w:rsidR="005C7E4A">
        <w:rPr>
          <w:rFonts w:ascii="Cambria" w:hAnsi="Cambria"/>
          <w:bCs/>
          <w:sz w:val="20"/>
          <w:szCs w:val="26"/>
          <w:shd w:val="clear" w:color="auto" w:fill="FFFFFF"/>
        </w:rPr>
        <w:t xml:space="preserve"> </w:t>
      </w:r>
      <w:proofErr w:type="spellStart"/>
      <w:r w:rsidRPr="00CE4A3A">
        <w:rPr>
          <w:rFonts w:ascii="Cambria" w:hAnsi="Cambria"/>
          <w:bCs/>
          <w:sz w:val="20"/>
          <w:szCs w:val="26"/>
          <w:shd w:val="clear" w:color="auto" w:fill="FFFFFF"/>
        </w:rPr>
        <w:t>Jawad</w:t>
      </w:r>
      <w:proofErr w:type="spellEnd"/>
      <w:r w:rsidRPr="00CE4A3A">
        <w:rPr>
          <w:rFonts w:ascii="Cambria" w:hAnsi="Cambria"/>
          <w:bCs/>
          <w:sz w:val="20"/>
          <w:szCs w:val="26"/>
          <w:shd w:val="clear" w:color="auto" w:fill="FFFFFF"/>
        </w:rPr>
        <w:t xml:space="preserve"> </w:t>
      </w:r>
      <w:proofErr w:type="gramStart"/>
      <w:r w:rsidRPr="00CE4A3A">
        <w:rPr>
          <w:rFonts w:ascii="Cambria" w:hAnsi="Cambria"/>
          <w:bCs/>
          <w:sz w:val="20"/>
          <w:szCs w:val="26"/>
          <w:shd w:val="clear" w:color="auto" w:fill="FFFFFF"/>
        </w:rPr>
        <w:t>Ahmad(</w:t>
      </w:r>
      <w:proofErr w:type="gramEnd"/>
      <w:r w:rsidRPr="00CE4A3A">
        <w:rPr>
          <w:rFonts w:ascii="Cambria" w:hAnsi="Cambria"/>
          <w:bCs/>
          <w:sz w:val="20"/>
          <w:szCs w:val="26"/>
          <w:shd w:val="clear" w:color="auto" w:fill="FFFFFF"/>
        </w:rPr>
        <w:t>Royal Stoke University Hospital)</w:t>
      </w:r>
    </w:p>
    <w:p w:rsidR="00CE4A3A" w:rsidRDefault="00CE4A3A" w:rsidP="00CE4A3A">
      <w:pPr>
        <w:rPr>
          <w:rFonts w:ascii="Cambria" w:hAnsi="Cambria"/>
          <w:b/>
          <w:bCs/>
          <w:color w:val="4F81BD"/>
          <w:sz w:val="26"/>
          <w:szCs w:val="26"/>
          <w:shd w:val="clear" w:color="auto" w:fill="FFFFFF"/>
        </w:rPr>
      </w:pPr>
      <w:r>
        <w:rPr>
          <w:rFonts w:ascii="Cambria" w:hAnsi="Cambria"/>
          <w:b/>
          <w:bCs/>
          <w:color w:val="4F81BD"/>
          <w:sz w:val="26"/>
          <w:szCs w:val="26"/>
          <w:shd w:val="clear" w:color="auto" w:fill="FFFFFF"/>
        </w:rPr>
        <w:t xml:space="preserve">Abstract </w:t>
      </w:r>
    </w:p>
    <w:p w:rsidR="00CE4A3A" w:rsidRDefault="00CE4A3A" w:rsidP="00CE4A3A">
      <w:r>
        <w:t xml:space="preserve">Cardiologists have been preferentially using Trans-radial access (TRA) for many years now and have demonstrated its safety in comparison to trans-femoral access (TFA). The uptake of TRA by </w:t>
      </w:r>
      <w:proofErr w:type="spellStart"/>
      <w:r>
        <w:t>neurointerventionalists</w:t>
      </w:r>
      <w:proofErr w:type="spellEnd"/>
      <w:r>
        <w:t xml:space="preserve"> has been slow but recent literature has shown that it is safe. </w:t>
      </w:r>
    </w:p>
    <w:p w:rsidR="00CE4A3A" w:rsidRDefault="00CE4A3A" w:rsidP="00CE4A3A">
      <w:r>
        <w:t xml:space="preserve">In our centre we have started using TRA for neurovascular procedures and here we present our initial experience with three cases of mechanical </w:t>
      </w:r>
      <w:proofErr w:type="spellStart"/>
      <w:r>
        <w:t>thrombectomy</w:t>
      </w:r>
      <w:proofErr w:type="spellEnd"/>
      <w:r>
        <w:t xml:space="preserve">: </w:t>
      </w:r>
    </w:p>
    <w:p w:rsidR="00CE4A3A" w:rsidRDefault="00CE4A3A" w:rsidP="00CE4A3A">
      <w:proofErr w:type="gramStart"/>
      <w:r>
        <w:t>Case 1: 58-year-old male presenting with sudden onset left-sided neck pain, with left arm weakness, dizziness and vomiting.</w:t>
      </w:r>
      <w:proofErr w:type="gramEnd"/>
      <w:r>
        <w:t xml:space="preserve"> CTA showed left vertebral artery dissection with basilar artery occlusive thrombus. Access achieved through the right radial artery and successful </w:t>
      </w:r>
      <w:proofErr w:type="spellStart"/>
      <w:r>
        <w:t>recanalization</w:t>
      </w:r>
      <w:proofErr w:type="spellEnd"/>
      <w:r>
        <w:t xml:space="preserve"> achieved with a single pass. </w:t>
      </w:r>
    </w:p>
    <w:p w:rsidR="00CE4A3A" w:rsidRDefault="00CE4A3A" w:rsidP="00CE4A3A">
      <w:r>
        <w:t xml:space="preserve">Case 2: 75-year-old male, with sudden onset collapse following intermittent dizziness and left arm weakness throughout the day. Initial CT head showed no abnormalities. Overnight GCS dropped to 4/15, with up going </w:t>
      </w:r>
      <w:proofErr w:type="spellStart"/>
      <w:r>
        <w:t>plantars</w:t>
      </w:r>
      <w:proofErr w:type="spellEnd"/>
      <w:r>
        <w:t xml:space="preserve"> and fixed dilated left pupil. Repeat CT/CTA showed bilateral thalamic infarcts, left </w:t>
      </w:r>
      <w:proofErr w:type="spellStart"/>
      <w:r>
        <w:t>cerebellar</w:t>
      </w:r>
      <w:proofErr w:type="spellEnd"/>
      <w:r>
        <w:t xml:space="preserve"> infarct and basilar artery thrombus. </w:t>
      </w:r>
      <w:proofErr w:type="spellStart"/>
      <w:r>
        <w:t>Thrombectomy</w:t>
      </w:r>
      <w:proofErr w:type="spellEnd"/>
      <w:r>
        <w:t xml:space="preserve"> performed with right radial artery access, successful </w:t>
      </w:r>
      <w:proofErr w:type="spellStart"/>
      <w:r>
        <w:t>recanalization</w:t>
      </w:r>
      <w:proofErr w:type="spellEnd"/>
      <w:r>
        <w:t xml:space="preserve"> with single pass. </w:t>
      </w:r>
    </w:p>
    <w:p w:rsidR="00CE4A3A" w:rsidRDefault="00CE4A3A" w:rsidP="00CE4A3A">
      <w:r>
        <w:t xml:space="preserve">Case 3: 45 year old male with sudden onset </w:t>
      </w:r>
      <w:proofErr w:type="spellStart"/>
      <w:r>
        <w:t>hemianopia</w:t>
      </w:r>
      <w:proofErr w:type="spellEnd"/>
      <w:r>
        <w:t xml:space="preserve"> and confusion. CTA showed left proximal PCA thrombus. Right radial access used to perform </w:t>
      </w:r>
      <w:proofErr w:type="spellStart"/>
      <w:r>
        <w:t>thrombectomy</w:t>
      </w:r>
      <w:proofErr w:type="spellEnd"/>
      <w:r>
        <w:t xml:space="preserve">, successful </w:t>
      </w:r>
      <w:proofErr w:type="spellStart"/>
      <w:r>
        <w:t>recanalization</w:t>
      </w:r>
      <w:proofErr w:type="spellEnd"/>
      <w:r>
        <w:t xml:space="preserve"> with single pass. </w:t>
      </w:r>
    </w:p>
    <w:p w:rsidR="00CE4A3A" w:rsidRDefault="00CE4A3A" w:rsidP="00CE4A3A">
      <w:r>
        <w:t xml:space="preserve">Conclusion and Significance-All the above procedures were performed with no significant time delay in comparison to TFA. Further, there were no complications. Our initial experience has demonstrated that mechanical </w:t>
      </w:r>
      <w:proofErr w:type="spellStart"/>
      <w:r>
        <w:t>thrombectomy</w:t>
      </w:r>
      <w:proofErr w:type="spellEnd"/>
      <w:r>
        <w:t xml:space="preserve"> via TRA can be performed safely, effectively and with few access site complications, where anatomical and procedural considerations allow.</w:t>
      </w:r>
    </w:p>
    <w:p w:rsidR="00CE4A3A" w:rsidRDefault="00CE4A3A" w:rsidP="00CE4A3A">
      <w:pPr>
        <w:rPr>
          <w:rFonts w:ascii="Cambria" w:hAnsi="Cambria"/>
          <w:b/>
          <w:bCs/>
          <w:color w:val="4F81BD"/>
          <w:sz w:val="26"/>
          <w:szCs w:val="26"/>
          <w:shd w:val="clear" w:color="auto" w:fill="FFFFFF"/>
        </w:rPr>
      </w:pPr>
      <w:r>
        <w:rPr>
          <w:rFonts w:ascii="Cambria" w:hAnsi="Cambria"/>
          <w:b/>
          <w:bCs/>
          <w:color w:val="4F81BD"/>
          <w:sz w:val="26"/>
          <w:szCs w:val="26"/>
          <w:shd w:val="clear" w:color="auto" w:fill="FFFFFF"/>
        </w:rPr>
        <w:t>References</w:t>
      </w:r>
    </w:p>
    <w:p w:rsidR="00CE4A3A" w:rsidRDefault="00CE4A3A" w:rsidP="00CE4A3A">
      <w:pPr>
        <w:pStyle w:val="ListParagraph"/>
        <w:numPr>
          <w:ilvl w:val="0"/>
          <w:numId w:val="1"/>
        </w:numPr>
      </w:pPr>
      <w:r>
        <w:t xml:space="preserve">Chen SH, </w:t>
      </w:r>
      <w:proofErr w:type="spellStart"/>
      <w:r>
        <w:t>Snelling</w:t>
      </w:r>
      <w:proofErr w:type="spellEnd"/>
      <w:r>
        <w:t xml:space="preserve"> BM, Sur S, et al. </w:t>
      </w:r>
      <w:proofErr w:type="spellStart"/>
      <w:r>
        <w:t>Transradial</w:t>
      </w:r>
      <w:proofErr w:type="spellEnd"/>
      <w:r>
        <w:t xml:space="preserve"> versus </w:t>
      </w:r>
      <w:proofErr w:type="spellStart"/>
      <w:r>
        <w:t>transfemoral</w:t>
      </w:r>
      <w:proofErr w:type="spellEnd"/>
      <w:r>
        <w:t xml:space="preserve"> access for anterior circulation mechanical </w:t>
      </w:r>
      <w:proofErr w:type="spellStart"/>
      <w:r>
        <w:t>thrombectomy</w:t>
      </w:r>
      <w:proofErr w:type="spellEnd"/>
      <w:r>
        <w:t xml:space="preserve">: comparison of technical and clinical outcomes. Journal of </w:t>
      </w:r>
      <w:proofErr w:type="spellStart"/>
      <w:r>
        <w:t>NeuroInterventional</w:t>
      </w:r>
      <w:proofErr w:type="spellEnd"/>
      <w:r>
        <w:t xml:space="preserve"> Surgery 2019</w:t>
      </w:r>
      <w:proofErr w:type="gramStart"/>
      <w:r>
        <w:t>;11:874</w:t>
      </w:r>
      <w:proofErr w:type="gramEnd"/>
      <w:r>
        <w:t>-878.</w:t>
      </w:r>
    </w:p>
    <w:p w:rsidR="00CE4A3A" w:rsidRDefault="00CE4A3A" w:rsidP="00CE4A3A">
      <w:pPr>
        <w:pStyle w:val="ListParagraph"/>
        <w:numPr>
          <w:ilvl w:val="0"/>
          <w:numId w:val="1"/>
        </w:numPr>
      </w:pPr>
      <w:proofErr w:type="spellStart"/>
      <w:r>
        <w:t>Furlan</w:t>
      </w:r>
      <w:proofErr w:type="spellEnd"/>
      <w:r>
        <w:t xml:space="preserve"> AB, Joshi KC, Munich SA. Radial access for acute stroke </w:t>
      </w:r>
      <w:proofErr w:type="spellStart"/>
      <w:r>
        <w:t>thrombectomy</w:t>
      </w:r>
      <w:proofErr w:type="spellEnd"/>
      <w:r>
        <w:t xml:space="preserve">: The case for using </w:t>
      </w:r>
      <w:proofErr w:type="spellStart"/>
      <w:r>
        <w:t>transradial</w:t>
      </w:r>
      <w:proofErr w:type="spellEnd"/>
      <w:r>
        <w:t xml:space="preserve"> access in </w:t>
      </w:r>
      <w:proofErr w:type="spellStart"/>
      <w:r>
        <w:t>neurointervention</w:t>
      </w:r>
      <w:proofErr w:type="spellEnd"/>
      <w:r>
        <w:t>. Endovascular Today 2020</w:t>
      </w:r>
      <w:proofErr w:type="gramStart"/>
      <w:r>
        <w:t>;19</w:t>
      </w:r>
      <w:proofErr w:type="gramEnd"/>
      <w:r>
        <w:t>(2):66-68.</w:t>
      </w:r>
    </w:p>
    <w:p w:rsidR="00CE4A3A" w:rsidRDefault="00CE4A3A" w:rsidP="00CE4A3A">
      <w:pPr>
        <w:pStyle w:val="ListParagraph"/>
        <w:numPr>
          <w:ilvl w:val="0"/>
          <w:numId w:val="1"/>
        </w:numPr>
      </w:pPr>
      <w:r>
        <w:t xml:space="preserve">Sur S, </w:t>
      </w:r>
      <w:proofErr w:type="spellStart"/>
      <w:r>
        <w:t>Snelling</w:t>
      </w:r>
      <w:proofErr w:type="spellEnd"/>
      <w:r>
        <w:t xml:space="preserve"> BM, </w:t>
      </w:r>
      <w:proofErr w:type="spellStart"/>
      <w:r>
        <w:t>Khandelwal</w:t>
      </w:r>
      <w:proofErr w:type="spellEnd"/>
      <w:r>
        <w:t xml:space="preserve"> P et al. </w:t>
      </w:r>
      <w:proofErr w:type="spellStart"/>
      <w:r>
        <w:t>Transradial</w:t>
      </w:r>
      <w:proofErr w:type="spellEnd"/>
      <w:r>
        <w:t xml:space="preserve"> approach for mechanical </w:t>
      </w:r>
      <w:proofErr w:type="spellStart"/>
      <w:r>
        <w:t>thrombectomy</w:t>
      </w:r>
      <w:proofErr w:type="spellEnd"/>
      <w:r>
        <w:t xml:space="preserve"> in anterior circulation large-vessel occlusion. </w:t>
      </w:r>
      <w:proofErr w:type="spellStart"/>
      <w:r>
        <w:t>Neurosurg</w:t>
      </w:r>
      <w:proofErr w:type="spellEnd"/>
      <w:r>
        <w:t xml:space="preserve"> Focus 2017</w:t>
      </w:r>
      <w:proofErr w:type="gramStart"/>
      <w:r>
        <w:t>;42:1</w:t>
      </w:r>
      <w:proofErr w:type="gramEnd"/>
      <w:r>
        <w:t>-4.</w:t>
      </w:r>
    </w:p>
    <w:p w:rsidR="00CE4A3A" w:rsidRDefault="00CE4A3A" w:rsidP="00CE4A3A">
      <w:pPr>
        <w:pStyle w:val="ListParagraph"/>
        <w:numPr>
          <w:ilvl w:val="0"/>
          <w:numId w:val="1"/>
        </w:numPr>
      </w:pPr>
      <w:proofErr w:type="spellStart"/>
      <w:r>
        <w:t>Khanna</w:t>
      </w:r>
      <w:proofErr w:type="spellEnd"/>
      <w:r>
        <w:t xml:space="preserve"> O, </w:t>
      </w:r>
      <w:proofErr w:type="spellStart"/>
      <w:r>
        <w:t>Mouchtouris</w:t>
      </w:r>
      <w:proofErr w:type="spellEnd"/>
      <w:r>
        <w:t xml:space="preserve"> N, </w:t>
      </w:r>
      <w:proofErr w:type="spellStart"/>
      <w:r>
        <w:t>Sweid</w:t>
      </w:r>
      <w:proofErr w:type="spellEnd"/>
      <w:r>
        <w:t xml:space="preserve"> A, et al </w:t>
      </w:r>
      <w:proofErr w:type="spellStart"/>
      <w:r>
        <w:t>Transradial</w:t>
      </w:r>
      <w:proofErr w:type="spellEnd"/>
      <w:r>
        <w:t xml:space="preserve"> approach for acute stroke intervention: technical procedure and clinical outcomes. Stroke and Vascular Neurology 2020;5:doi: 10.1136/svn-2019-000263</w:t>
      </w:r>
    </w:p>
    <w:p w:rsidR="00CE4A3A" w:rsidRDefault="00CE4A3A" w:rsidP="00CE4A3A">
      <w:pPr>
        <w:pStyle w:val="ListParagraph"/>
        <w:numPr>
          <w:ilvl w:val="0"/>
          <w:numId w:val="1"/>
        </w:numPr>
      </w:pPr>
      <w:proofErr w:type="spellStart"/>
      <w:r>
        <w:t>Mizokami</w:t>
      </w:r>
      <w:proofErr w:type="spellEnd"/>
      <w:r>
        <w:t xml:space="preserve"> T, </w:t>
      </w:r>
      <w:proofErr w:type="spellStart"/>
      <w:r>
        <w:t>Uwatoko</w:t>
      </w:r>
      <w:proofErr w:type="spellEnd"/>
      <w:r>
        <w:t xml:space="preserve"> T, Furukawa T et al. </w:t>
      </w:r>
      <w:proofErr w:type="spellStart"/>
      <w:r>
        <w:t>Transradial</w:t>
      </w:r>
      <w:proofErr w:type="spellEnd"/>
      <w:r>
        <w:t xml:space="preserve"> approach for mechanical </w:t>
      </w:r>
      <w:proofErr w:type="spellStart"/>
      <w:r>
        <w:t>thrombectomy</w:t>
      </w:r>
      <w:proofErr w:type="spellEnd"/>
      <w:r>
        <w:t xml:space="preserve"> of posterior circulation stroke. Journal of </w:t>
      </w:r>
      <w:proofErr w:type="spellStart"/>
      <w:r>
        <w:t>neuroendovascular</w:t>
      </w:r>
      <w:proofErr w:type="spellEnd"/>
      <w:r>
        <w:t xml:space="preserve"> therapy 2018</w:t>
      </w:r>
      <w:proofErr w:type="gramStart"/>
      <w:r>
        <w:t>;12:314</w:t>
      </w:r>
      <w:proofErr w:type="gramEnd"/>
      <w:r>
        <w:t>-319.</w:t>
      </w:r>
    </w:p>
    <w:p w:rsidR="00CE4A3A" w:rsidRDefault="00CE4A3A" w:rsidP="00CE4A3A">
      <w:pPr>
        <w:pStyle w:val="ListParagraph"/>
        <w:numPr>
          <w:ilvl w:val="0"/>
          <w:numId w:val="1"/>
        </w:numPr>
      </w:pPr>
      <w:proofErr w:type="spellStart"/>
      <w:r>
        <w:t>Oselkin</w:t>
      </w:r>
      <w:proofErr w:type="spellEnd"/>
      <w:r>
        <w:t xml:space="preserve"> M, </w:t>
      </w:r>
      <w:proofErr w:type="spellStart"/>
      <w:r>
        <w:t>Satti</w:t>
      </w:r>
      <w:proofErr w:type="spellEnd"/>
      <w:r>
        <w:t xml:space="preserve"> SR, </w:t>
      </w:r>
      <w:proofErr w:type="spellStart"/>
      <w:r>
        <w:t>Sundararajan</w:t>
      </w:r>
      <w:proofErr w:type="spellEnd"/>
      <w:r>
        <w:t xml:space="preserve"> SH et al. Endovascular treatment for acute basilar thrombosis via a </w:t>
      </w:r>
      <w:proofErr w:type="spellStart"/>
      <w:r>
        <w:t>transradial</w:t>
      </w:r>
      <w:proofErr w:type="spellEnd"/>
      <w:r>
        <w:t xml:space="preserve"> approach: Initial experience and future consideration. Interventional </w:t>
      </w:r>
      <w:proofErr w:type="spellStart"/>
      <w:r>
        <w:t>Neuroradiology</w:t>
      </w:r>
      <w:proofErr w:type="spellEnd"/>
      <w:r>
        <w:t xml:space="preserve"> 2018; 24(1): 64–69.</w:t>
      </w:r>
    </w:p>
    <w:p w:rsidR="009E5F40" w:rsidRDefault="009E5F40"/>
    <w:sectPr w:rsidR="009E5F40" w:rsidSect="009E5F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386942"/>
    <w:multiLevelType w:val="hybridMultilevel"/>
    <w:tmpl w:val="0B6A3E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E4A3A"/>
    <w:rsid w:val="005C7E4A"/>
    <w:rsid w:val="009E5F40"/>
    <w:rsid w:val="00CE4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A3A"/>
    <w:pPr>
      <w:spacing w:after="160"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4A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21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1</cp:revision>
  <dcterms:created xsi:type="dcterms:W3CDTF">2020-05-24T14:39:00Z</dcterms:created>
  <dcterms:modified xsi:type="dcterms:W3CDTF">2020-05-24T14:50:00Z</dcterms:modified>
</cp:coreProperties>
</file>