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9A" w:rsidRDefault="0033289A" w:rsidP="0033289A">
      <w:pPr>
        <w:autoSpaceDE w:val="0"/>
        <w:autoSpaceDN w:val="0"/>
        <w:adjustRightInd w:val="0"/>
        <w:spacing w:after="0" w:line="240" w:lineRule="auto"/>
        <w:rPr>
          <w:rFonts w:ascii="SkvwcdAdvTTb8864ccf.B" w:hAnsi="SkvwcdAdvTTb8864ccf.B" w:cs="SkvwcdAdvTTb8864ccf.B"/>
          <w:color w:val="131413"/>
          <w:sz w:val="35"/>
          <w:szCs w:val="35"/>
        </w:rPr>
      </w:pPr>
      <w:r>
        <w:rPr>
          <w:rFonts w:ascii="SkvwcdAdvTTb8864ccf.B" w:hAnsi="SkvwcdAdvTTb8864ccf.B" w:cs="SkvwcdAdvTTb8864ccf.B"/>
          <w:color w:val="131413"/>
          <w:sz w:val="35"/>
          <w:szCs w:val="35"/>
        </w:rPr>
        <w:t>Unique Aspects of Coronary Artery Disease in Women</w:t>
      </w:r>
    </w:p>
    <w:p w:rsidR="0033289A" w:rsidRDefault="0033289A" w:rsidP="0033289A">
      <w:pPr>
        <w:autoSpaceDE w:val="0"/>
        <w:autoSpaceDN w:val="0"/>
        <w:adjustRightInd w:val="0"/>
        <w:spacing w:after="0" w:line="240" w:lineRule="auto"/>
        <w:rPr>
          <w:rFonts w:ascii="SkvwcdAdvTTb8864ccf.B" w:hAnsi="SkvwcdAdvTTb8864ccf.B" w:cs="SkvwcdAdvTTb8864ccf.B"/>
          <w:color w:val="131413"/>
          <w:sz w:val="35"/>
          <w:szCs w:val="35"/>
        </w:rPr>
      </w:pPr>
    </w:p>
    <w:p w:rsidR="005C5F03" w:rsidRDefault="005C5F03" w:rsidP="007753FA">
      <w:pPr>
        <w:autoSpaceDE w:val="0"/>
        <w:autoSpaceDN w:val="0"/>
        <w:adjustRightInd w:val="0"/>
        <w:spacing w:after="0" w:line="240" w:lineRule="auto"/>
        <w:jc w:val="both"/>
        <w:rPr>
          <w:rFonts w:ascii="NpbdrfAdvTT3713a231" w:hAnsi="NpbdrfAdvTT3713a231" w:cs="NpbdrfAdvTT3713a231"/>
          <w:color w:val="131413"/>
          <w:sz w:val="24"/>
          <w:szCs w:val="24"/>
        </w:rPr>
        <w:sectPr w:rsidR="005C5F03">
          <w:pgSz w:w="12240" w:h="15840"/>
          <w:pgMar w:top="1440" w:right="1440" w:bottom="1440" w:left="1440" w:header="720" w:footer="720" w:gutter="0"/>
          <w:cols w:space="720"/>
          <w:docGrid w:linePitch="360"/>
        </w:sectPr>
      </w:pPr>
    </w:p>
    <w:p w:rsidR="0033289A" w:rsidRPr="007753FA" w:rsidRDefault="0033289A" w:rsidP="007753FA">
      <w:pPr>
        <w:autoSpaceDE w:val="0"/>
        <w:autoSpaceDN w:val="0"/>
        <w:adjustRightInd w:val="0"/>
        <w:spacing w:after="0" w:line="240" w:lineRule="auto"/>
        <w:jc w:val="both"/>
        <w:rPr>
          <w:rFonts w:ascii="NpbdrfAdvTT3713a231" w:hAnsi="NpbdrfAdvTT3713a231" w:cs="NpbdrfAdvTT3713a231"/>
          <w:color w:val="131413"/>
          <w:sz w:val="24"/>
          <w:szCs w:val="24"/>
        </w:rPr>
      </w:pPr>
      <w:r w:rsidRPr="007753FA">
        <w:rPr>
          <w:rFonts w:ascii="NpbdrfAdvTT3713a231" w:hAnsi="NpbdrfAdvTT3713a231" w:cs="NpbdrfAdvTT3713a231"/>
          <w:color w:val="131413"/>
          <w:sz w:val="24"/>
          <w:szCs w:val="24"/>
        </w:rPr>
        <w:lastRenderedPageBreak/>
        <w:t>I</w:t>
      </w:r>
      <w:r w:rsidRPr="007753FA">
        <w:rPr>
          <w:rFonts w:ascii="NpbdrfAdvTT3713a231" w:hAnsi="NpbdrfAdvTT3713a231" w:cs="NpbdrfAdvTT3713a231"/>
          <w:color w:val="131413"/>
          <w:sz w:val="24"/>
          <w:szCs w:val="24"/>
        </w:rPr>
        <w:t>mportant</w:t>
      </w:r>
      <w:r w:rsidRPr="007753FA">
        <w:rPr>
          <w:rFonts w:ascii="NpbdrfAdvTT3713a231" w:hAnsi="NpbdrfAdvTT3713a231" w:cs="NpbdrfAdvTT3713a231"/>
          <w:color w:val="131413"/>
          <w:sz w:val="24"/>
          <w:szCs w:val="24"/>
        </w:rPr>
        <w:t xml:space="preserve"> and critical </w:t>
      </w:r>
      <w:r w:rsidRPr="007753FA">
        <w:rPr>
          <w:rFonts w:ascii="NpbdrfAdvTT3713a231" w:hAnsi="NpbdrfAdvTT3713a231" w:cs="NpbdrfAdvTT3713a231"/>
          <w:color w:val="131413"/>
          <w:sz w:val="24"/>
          <w:szCs w:val="24"/>
        </w:rPr>
        <w:t>gender-related differences</w:t>
      </w:r>
      <w:r w:rsidRPr="007753FA">
        <w:rPr>
          <w:rFonts w:ascii="NpbdrfAdvTT3713a231" w:hAnsi="NpbdrfAdvTT3713a231" w:cs="NpbdrfAdvTT3713a231"/>
          <w:color w:val="131413"/>
          <w:sz w:val="24"/>
          <w:szCs w:val="24"/>
        </w:rPr>
        <w:t xml:space="preserve"> exist </w:t>
      </w:r>
      <w:r w:rsidRPr="007753FA">
        <w:rPr>
          <w:rFonts w:ascii="NpbdrfAdvTT3713a231" w:hAnsi="NpbdrfAdvTT3713a231" w:cs="NpbdrfAdvTT3713a231"/>
          <w:color w:val="131413"/>
          <w:sz w:val="24"/>
          <w:szCs w:val="24"/>
        </w:rPr>
        <w:t>in the prevalence, presentation,</w:t>
      </w:r>
      <w:r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associated conventional and non-conventional risk factors,</w:t>
      </w:r>
      <w:r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management and outcomes of coronary heart disease (CHD)</w:t>
      </w:r>
      <w:r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 xml:space="preserve">patients. Adequate data is not available </w:t>
      </w:r>
      <w:r w:rsidRPr="007753FA">
        <w:rPr>
          <w:rFonts w:ascii="NpbdrfAdvTT3713a231" w:hAnsi="NpbdrfAdvTT3713a231" w:cs="NpbdrfAdvTT3713a231"/>
          <w:color w:val="131413"/>
          <w:sz w:val="24"/>
          <w:szCs w:val="24"/>
        </w:rPr>
        <w:t xml:space="preserve">correlating the risk factors in women </w:t>
      </w:r>
      <w:r w:rsidRPr="007753FA">
        <w:rPr>
          <w:rFonts w:ascii="NpbdrfAdvTT3713a231" w:hAnsi="NpbdrfAdvTT3713a231" w:cs="NpbdrfAdvTT3713a231"/>
          <w:color w:val="131413"/>
          <w:sz w:val="24"/>
          <w:szCs w:val="24"/>
        </w:rPr>
        <w:t>population</w:t>
      </w:r>
      <w:r w:rsidRPr="007753FA">
        <w:rPr>
          <w:rFonts w:ascii="NpbdrfAdvTT3713a231" w:hAnsi="NpbdrfAdvTT3713a231" w:cs="NpbdrfAdvTT3713a231"/>
          <w:color w:val="131413"/>
          <w:sz w:val="24"/>
          <w:szCs w:val="24"/>
        </w:rPr>
        <w:t xml:space="preserve"> of developing nations </w:t>
      </w:r>
      <w:r w:rsidRPr="007753FA">
        <w:rPr>
          <w:rFonts w:ascii="NpbdrfAdvTT3713a231" w:hAnsi="NpbdrfAdvTT3713a231" w:cs="NpbdrfAdvTT3713a231"/>
          <w:color w:val="131413"/>
          <w:sz w:val="24"/>
          <w:szCs w:val="24"/>
        </w:rPr>
        <w:t>where prevalence of CHD and depression is high.</w:t>
      </w:r>
      <w:r w:rsidRPr="007753FA">
        <w:rPr>
          <w:rFonts w:ascii="NpbdrfAdvTT3713a231" w:hAnsi="NpbdrfAdvTT3713a231" w:cs="NpbdrfAdvTT3713a231"/>
          <w:color w:val="131413"/>
          <w:sz w:val="24"/>
          <w:szCs w:val="24"/>
        </w:rPr>
        <w:t xml:space="preserve"> A</w:t>
      </w:r>
      <w:r w:rsidRPr="007753FA">
        <w:rPr>
          <w:rFonts w:ascii="NpbdrfAdvTT3713a231" w:hAnsi="NpbdrfAdvTT3713a231" w:cs="NpbdrfAdvTT3713a231"/>
          <w:color w:val="131413"/>
          <w:sz w:val="24"/>
          <w:szCs w:val="24"/>
        </w:rPr>
        <w:t>n</w:t>
      </w:r>
      <w:r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observational, single-center, study</w:t>
      </w:r>
      <w:r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on 10450 consecutive</w:t>
      </w:r>
      <w:r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patients visiting a tertiary care center, Ahmedabad, Gujarat,</w:t>
      </w:r>
      <w:r w:rsidR="004A1A22">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India who presented with complaints related to CHD</w:t>
      </w:r>
      <w:r w:rsidRPr="007753FA">
        <w:rPr>
          <w:rFonts w:ascii="NpbdrfAdvTT3713a231" w:hAnsi="NpbdrfAdvTT3713a231" w:cs="NpbdrfAdvTT3713a231"/>
          <w:color w:val="131413"/>
          <w:sz w:val="24"/>
          <w:szCs w:val="24"/>
        </w:rPr>
        <w:t xml:space="preserve"> was conducted</w:t>
      </w:r>
      <w:r w:rsidRPr="007753FA">
        <w:rPr>
          <w:rFonts w:ascii="NpbdrfAdvTT3713a231" w:hAnsi="NpbdrfAdvTT3713a231" w:cs="NpbdrfAdvTT3713a231"/>
          <w:color w:val="131413"/>
          <w:sz w:val="24"/>
          <w:szCs w:val="24"/>
        </w:rPr>
        <w:t>.</w:t>
      </w:r>
      <w:r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Of</w:t>
      </w:r>
      <w:r w:rsidRPr="007753FA">
        <w:rPr>
          <w:rFonts w:ascii="NpbdrfAdvTT3713a231" w:hAnsi="NpbdrfAdvTT3713a231" w:cs="NpbdrfAdvTT3713a231"/>
          <w:color w:val="131413"/>
          <w:sz w:val="24"/>
          <w:szCs w:val="24"/>
        </w:rPr>
        <w:t xml:space="preserve"> the total patients </w:t>
      </w:r>
      <w:r w:rsidRPr="007753FA">
        <w:rPr>
          <w:rFonts w:ascii="NpbdrfAdvTT3713a231" w:hAnsi="NpbdrfAdvTT3713a231" w:cs="NpbdrfAdvTT3713a231"/>
          <w:color w:val="131413"/>
          <w:sz w:val="24"/>
          <w:szCs w:val="24"/>
        </w:rPr>
        <w:t>6867 patients had coronary artery disease</w:t>
      </w:r>
      <w:r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(CAD) as confirmed by angiographic investigation; 5678</w:t>
      </w:r>
      <w:r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were males, and 1189 were females with similar mean age.</w:t>
      </w:r>
      <w:r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As compared to males, females had higher prevalence of hypertension,</w:t>
      </w:r>
      <w:r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diabetes and obesity while males had higher prevalence</w:t>
      </w:r>
      <w:r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of smoking. Invasive treatment options like Coronary</w:t>
      </w:r>
      <w:r w:rsidR="00D42A45"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Artery Bypass Grafting (</w:t>
      </w:r>
      <w:r w:rsidRPr="007753FA">
        <w:rPr>
          <w:rFonts w:ascii="NhmpjxAdvTT50a2f13e.I" w:hAnsi="NhmpjxAdvTT50a2f13e.I" w:cs="NhmpjxAdvTT50a2f13e.I"/>
          <w:color w:val="131413"/>
          <w:sz w:val="24"/>
          <w:szCs w:val="24"/>
        </w:rPr>
        <w:t>p&lt;0.001</w:t>
      </w:r>
      <w:r w:rsidRPr="007753FA">
        <w:rPr>
          <w:rFonts w:ascii="NpbdrfAdvTT3713a231" w:hAnsi="NpbdrfAdvTT3713a231" w:cs="NpbdrfAdvTT3713a231"/>
          <w:color w:val="131413"/>
          <w:sz w:val="24"/>
          <w:szCs w:val="24"/>
        </w:rPr>
        <w:t>) and Percutaneous Coronary</w:t>
      </w:r>
      <w:r w:rsidR="00D42A45"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Intervention (</w:t>
      </w:r>
      <w:r w:rsidRPr="007753FA">
        <w:rPr>
          <w:rFonts w:ascii="NhmpjxAdvTT50a2f13e.I" w:hAnsi="NhmpjxAdvTT50a2f13e.I" w:cs="NhmpjxAdvTT50a2f13e.I"/>
          <w:color w:val="131413"/>
          <w:sz w:val="24"/>
          <w:szCs w:val="24"/>
        </w:rPr>
        <w:t>p=0.001</w:t>
      </w:r>
      <w:r w:rsidRPr="007753FA">
        <w:rPr>
          <w:rFonts w:ascii="NpbdrfAdvTT3713a231" w:hAnsi="NpbdrfAdvTT3713a231" w:cs="NpbdrfAdvTT3713a231"/>
          <w:color w:val="131413"/>
          <w:sz w:val="24"/>
          <w:szCs w:val="24"/>
        </w:rPr>
        <w:t>) were used less often to treat females,</w:t>
      </w:r>
      <w:r w:rsidR="00D42A45"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and medical therapy (</w:t>
      </w:r>
      <w:r w:rsidRPr="007753FA">
        <w:rPr>
          <w:rFonts w:ascii="NhmpjxAdvTT50a2f13e.I" w:hAnsi="NhmpjxAdvTT50a2f13e.I" w:cs="NhmpjxAdvTT50a2f13e.I"/>
          <w:color w:val="131413"/>
          <w:sz w:val="24"/>
          <w:szCs w:val="24"/>
        </w:rPr>
        <w:t>p&lt;0.001</w:t>
      </w:r>
      <w:r w:rsidRPr="007753FA">
        <w:rPr>
          <w:rFonts w:ascii="NpbdrfAdvTT3713a231" w:hAnsi="NpbdrfAdvTT3713a231" w:cs="NpbdrfAdvTT3713a231"/>
          <w:color w:val="131413"/>
          <w:sz w:val="24"/>
          <w:szCs w:val="24"/>
        </w:rPr>
        <w:t>) was the preferred</w:t>
      </w:r>
      <w:r w:rsidR="00D42A45"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treatment option irrespective of the contributing risk factors/</w:t>
      </w:r>
      <w:r w:rsidR="00D42A45"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extent of CAD.</w:t>
      </w:r>
      <w:r w:rsidR="00D42A45" w:rsidRPr="007753FA">
        <w:rPr>
          <w:rFonts w:ascii="NpbdrfAdvTT3713a231" w:hAnsi="NpbdrfAdvTT3713a231" w:cs="NpbdrfAdvTT3713a231"/>
          <w:color w:val="131413"/>
          <w:sz w:val="24"/>
          <w:szCs w:val="24"/>
        </w:rPr>
        <w:t xml:space="preserve"> An important contributing risk factor d</w:t>
      </w:r>
      <w:r w:rsidRPr="007753FA">
        <w:rPr>
          <w:rFonts w:ascii="NpbdrfAdvTT3713a231" w:hAnsi="NpbdrfAdvTT3713a231" w:cs="NpbdrfAdvTT3713a231"/>
          <w:color w:val="131413"/>
          <w:sz w:val="24"/>
          <w:szCs w:val="24"/>
        </w:rPr>
        <w:t>epression was observed in 39.8 % of acute</w:t>
      </w:r>
      <w:r w:rsidR="00D42A45"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coronary syndrome patients (</w:t>
      </w:r>
      <w:r w:rsidRPr="007753FA">
        <w:rPr>
          <w:rFonts w:ascii="NhmpjxAdvTT50a2f13e.I" w:hAnsi="NhmpjxAdvTT50a2f13e.I" w:cs="NhmpjxAdvTT50a2f13e.I"/>
          <w:color w:val="131413"/>
          <w:sz w:val="24"/>
          <w:szCs w:val="24"/>
        </w:rPr>
        <w:t>n</w:t>
      </w:r>
      <w:r w:rsidRPr="007753FA">
        <w:rPr>
          <w:rFonts w:ascii="NpbdrfAdvTT3713a231" w:hAnsi="NpbdrfAdvTT3713a231" w:cs="NpbdrfAdvTT3713a231"/>
          <w:color w:val="131413"/>
          <w:sz w:val="24"/>
          <w:szCs w:val="24"/>
        </w:rPr>
        <w:t>=1648) as assessed by MARDS scale. It was higher in female patients and in low socioeconomic</w:t>
      </w:r>
      <w:r w:rsidR="00D42A45"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strata (</w:t>
      </w:r>
      <w:r w:rsidRPr="007753FA">
        <w:rPr>
          <w:rFonts w:ascii="NhmpjxAdvTT50a2f13e.I" w:hAnsi="NhmpjxAdvTT50a2f13e.I" w:cs="NhmpjxAdvTT50a2f13e.I"/>
          <w:color w:val="131413"/>
          <w:sz w:val="24"/>
          <w:szCs w:val="24"/>
        </w:rPr>
        <w:t>p</w:t>
      </w:r>
      <w:r w:rsidRPr="007753FA">
        <w:rPr>
          <w:rFonts w:ascii="NpbdrfAdvTT3713a231" w:hAnsi="NpbdrfAdvTT3713a231" w:cs="NpbdrfAdvTT3713a231"/>
          <w:color w:val="131413"/>
          <w:sz w:val="24"/>
          <w:szCs w:val="24"/>
        </w:rPr>
        <w:t>&lt;0.001).</w:t>
      </w:r>
      <w:r w:rsidR="004A1A22">
        <w:rPr>
          <w:rFonts w:ascii="NpbdrfAdvTT3713a231" w:hAnsi="NpbdrfAdvTT3713a231" w:cs="NpbdrfAdvTT3713a231"/>
          <w:color w:val="131413"/>
          <w:sz w:val="24"/>
          <w:szCs w:val="24"/>
        </w:rPr>
        <w:t xml:space="preserve"> </w:t>
      </w:r>
      <w:r w:rsidR="004A1A22" w:rsidRPr="007753FA">
        <w:rPr>
          <w:rFonts w:ascii="NpbdrfAdvTT3713a231" w:hAnsi="NpbdrfAdvTT3713a231" w:cs="NpbdrfAdvTT3713a231"/>
          <w:color w:val="131413"/>
          <w:sz w:val="24"/>
          <w:szCs w:val="24"/>
        </w:rPr>
        <w:t>Expensive treatment like CABG and PCI are opted more often in males as compared to females in whom medical therapy appears to be the preferred option irrespective of the contributing/confounding factors.</w:t>
      </w:r>
      <w:r w:rsidR="004A1A22">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At 12 and 36 months, rates of</w:t>
      </w:r>
      <w:r w:rsidR="00D42A45"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revascularization (</w:t>
      </w:r>
      <w:r w:rsidRPr="007753FA">
        <w:rPr>
          <w:rFonts w:ascii="NhmpjxAdvTT50a2f13e.I" w:hAnsi="NhmpjxAdvTT50a2f13e.I" w:cs="NhmpjxAdvTT50a2f13e.I"/>
          <w:color w:val="131413"/>
          <w:sz w:val="24"/>
          <w:szCs w:val="24"/>
        </w:rPr>
        <w:t>p</w:t>
      </w:r>
      <w:r w:rsidRPr="007753FA">
        <w:rPr>
          <w:rFonts w:ascii="NpbdrfAdvTT3713a231" w:hAnsi="NpbdrfAdvTT3713a231" w:cs="NpbdrfAdvTT3713a231"/>
          <w:color w:val="131413"/>
          <w:sz w:val="24"/>
          <w:szCs w:val="24"/>
        </w:rPr>
        <w:t>&lt;0.001) and mortality (</w:t>
      </w:r>
      <w:r w:rsidRPr="007753FA">
        <w:rPr>
          <w:rFonts w:ascii="NhmpjxAdvTT50a2f13e.I" w:hAnsi="NhmpjxAdvTT50a2f13e.I" w:cs="NhmpjxAdvTT50a2f13e.I"/>
          <w:color w:val="131413"/>
          <w:sz w:val="24"/>
          <w:szCs w:val="24"/>
        </w:rPr>
        <w:t>p</w:t>
      </w:r>
      <w:r w:rsidRPr="007753FA">
        <w:rPr>
          <w:rFonts w:ascii="NpbdrfAdvTT3713a231" w:hAnsi="NpbdrfAdvTT3713a231" w:cs="NpbdrfAdvTT3713a231"/>
          <w:color w:val="131413"/>
          <w:sz w:val="24"/>
          <w:szCs w:val="24"/>
        </w:rPr>
        <w:t>&lt;0.005) were</w:t>
      </w:r>
      <w:r w:rsidR="00D42A45"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higher with poor quality of life (QoL) (</w:t>
      </w:r>
      <w:r w:rsidRPr="007753FA">
        <w:rPr>
          <w:rFonts w:ascii="NhmpjxAdvTT50a2f13e.I" w:hAnsi="NhmpjxAdvTT50a2f13e.I" w:cs="NhmpjxAdvTT50a2f13e.I"/>
          <w:color w:val="131413"/>
          <w:sz w:val="24"/>
          <w:szCs w:val="24"/>
        </w:rPr>
        <w:t>P</w:t>
      </w:r>
      <w:r w:rsidRPr="007753FA">
        <w:rPr>
          <w:rFonts w:ascii="NpbdrfAdvTT3713a231" w:hAnsi="NpbdrfAdvTT3713a231" w:cs="NpbdrfAdvTT3713a231"/>
          <w:color w:val="131413"/>
          <w:sz w:val="24"/>
          <w:szCs w:val="24"/>
        </w:rPr>
        <w:t>&lt;0.001) in depressed</w:t>
      </w:r>
      <w:r w:rsidR="00D42A45" w:rsidRPr="007753FA">
        <w:rPr>
          <w:rFonts w:ascii="NpbdrfAdvTT3713a231" w:hAnsi="NpbdrfAdvTT3713a231" w:cs="NpbdrfAdvTT3713a231"/>
          <w:color w:val="131413"/>
          <w:sz w:val="24"/>
          <w:szCs w:val="24"/>
        </w:rPr>
        <w:t xml:space="preserve"> </w:t>
      </w:r>
      <w:r w:rsidRPr="007753FA">
        <w:rPr>
          <w:rFonts w:ascii="NpbdrfAdvTT3713a231" w:hAnsi="NpbdrfAdvTT3713a231" w:cs="NpbdrfAdvTT3713a231"/>
          <w:color w:val="131413"/>
          <w:sz w:val="24"/>
          <w:szCs w:val="24"/>
        </w:rPr>
        <w:t>CAD patients.</w:t>
      </w:r>
      <w:r w:rsidR="007753FA" w:rsidRPr="007753FA">
        <w:rPr>
          <w:rFonts w:ascii="NpbdrfAdvTT3713a231" w:hAnsi="NpbdrfAdvTT3713a231" w:cs="NpbdrfAdvTT3713a231"/>
          <w:color w:val="131413"/>
          <w:sz w:val="24"/>
          <w:szCs w:val="24"/>
        </w:rPr>
        <w:t xml:space="preserve"> </w:t>
      </w:r>
    </w:p>
    <w:p w:rsidR="007753FA" w:rsidRDefault="007753FA" w:rsidP="007753FA">
      <w:pPr>
        <w:jc w:val="both"/>
        <w:rPr>
          <w:rFonts w:ascii="NpbdrfAdvTT3713a231" w:hAnsi="NpbdrfAdvTT3713a231" w:cs="NpbdrfAdvTT3713a231"/>
          <w:color w:val="131413"/>
          <w:sz w:val="24"/>
          <w:szCs w:val="24"/>
        </w:rPr>
      </w:pPr>
    </w:p>
    <w:p w:rsidR="004A1A22" w:rsidRDefault="004A1A22" w:rsidP="007753FA">
      <w:pPr>
        <w:jc w:val="both"/>
        <w:rPr>
          <w:rFonts w:ascii="NpbdrfAdvTT3713a231" w:hAnsi="NpbdrfAdvTT3713a231" w:cs="NpbdrfAdvTT3713a231"/>
          <w:color w:val="131413"/>
          <w:sz w:val="24"/>
          <w:szCs w:val="24"/>
        </w:rPr>
      </w:pPr>
      <w:r>
        <w:rPr>
          <w:rFonts w:ascii="NpbdrfAdvTT3713a231" w:hAnsi="NpbdrfAdvTT3713a231" w:cs="NpbdrfAdvTT3713a231"/>
          <w:color w:val="131413"/>
          <w:sz w:val="24"/>
          <w:szCs w:val="24"/>
        </w:rPr>
        <w:lastRenderedPageBreak/>
        <w:t>Recent publications</w:t>
      </w:r>
    </w:p>
    <w:p w:rsidR="005E4BB2" w:rsidRPr="003A6692" w:rsidRDefault="005E4BB2" w:rsidP="00155EAF">
      <w:pPr>
        <w:numPr>
          <w:ilvl w:val="0"/>
          <w:numId w:val="2"/>
        </w:numPr>
        <w:shd w:val="clear" w:color="auto" w:fill="FFFFFF"/>
        <w:tabs>
          <w:tab w:val="left" w:pos="0"/>
          <w:tab w:val="left" w:pos="270"/>
        </w:tabs>
        <w:spacing w:before="100" w:beforeAutospacing="1" w:after="100" w:afterAutospacing="1"/>
        <w:ind w:left="0" w:firstLine="0"/>
        <w:rPr>
          <w:rFonts w:ascii="Times New Roman" w:hAnsi="Times New Roman" w:cs="Times New Roman"/>
          <w:color w:val="000000"/>
          <w:spacing w:val="-1"/>
          <w:sz w:val="24"/>
          <w:szCs w:val="24"/>
        </w:rPr>
      </w:pPr>
      <w:r w:rsidRPr="003A6692">
        <w:rPr>
          <w:rFonts w:ascii="Times New Roman" w:eastAsia="Times New Roman" w:hAnsi="Times New Roman" w:cs="Times New Roman"/>
          <w:color w:val="222222"/>
          <w:sz w:val="24"/>
          <w:szCs w:val="24"/>
        </w:rPr>
        <w:t>Dhiren Shah, Milan Chag, Deepa Shah, DhavalNaik, Amit Chandan, ChintanSheth, NirenBhavsar, Hiren Dholakiya, Parloop Bhatt Late Coronary Stent Infection: A Difficult to Diagnose Rare Complication after Percutaneous Coronary Intervention . Indian Journal of Thoracic and Cardiovascular Surgery.</w:t>
      </w:r>
      <w:r w:rsidRPr="003A6692">
        <w:rPr>
          <w:rFonts w:ascii="Calibri" w:eastAsia="Times New Roman" w:hAnsi="Calibri"/>
          <w:sz w:val="24"/>
          <w:szCs w:val="24"/>
        </w:rPr>
        <w:t xml:space="preserve"> Jan 2019,Vol 35,Issue 1, pp 74-77</w:t>
      </w:r>
      <w:r w:rsidRPr="003A6692">
        <w:rPr>
          <w:sz w:val="24"/>
          <w:szCs w:val="24"/>
        </w:rPr>
        <w:t>;</w:t>
      </w:r>
      <w:r w:rsidRPr="003A6692">
        <w:rPr>
          <w:rFonts w:ascii="Times New Roman" w:hAnsi="Times New Roman" w:cs="Times New Roman"/>
          <w:color w:val="333333"/>
          <w:spacing w:val="3"/>
          <w:sz w:val="24"/>
          <w:szCs w:val="24"/>
          <w:shd w:val="clear" w:color="auto" w:fill="FCFCFC"/>
        </w:rPr>
        <w:t xml:space="preserve"> </w:t>
      </w:r>
      <w:hyperlink r:id="rId6" w:history="1">
        <w:r w:rsidRPr="003A6692">
          <w:rPr>
            <w:rStyle w:val="Hyperlink"/>
            <w:rFonts w:ascii="Times New Roman" w:hAnsi="Times New Roman" w:cs="Times New Roman"/>
            <w:spacing w:val="3"/>
            <w:sz w:val="24"/>
            <w:szCs w:val="24"/>
            <w:shd w:val="clear" w:color="auto" w:fill="FCFCFC"/>
          </w:rPr>
          <w:t>https://doi.org/10.1007/s12055-018-0698-</w:t>
        </w:r>
      </w:hyperlink>
    </w:p>
    <w:p w:rsidR="005C5F03" w:rsidRPr="005C5F03" w:rsidRDefault="005E4BB2" w:rsidP="00155EAF">
      <w:pPr>
        <w:pStyle w:val="ListParagraph"/>
        <w:numPr>
          <w:ilvl w:val="0"/>
          <w:numId w:val="2"/>
        </w:numPr>
        <w:shd w:val="clear" w:color="auto" w:fill="FFFFFF"/>
        <w:tabs>
          <w:tab w:val="left" w:pos="270"/>
        </w:tabs>
        <w:autoSpaceDE w:val="0"/>
        <w:autoSpaceDN w:val="0"/>
        <w:adjustRightInd w:val="0"/>
        <w:spacing w:after="100"/>
        <w:ind w:left="0" w:firstLine="0"/>
        <w:rPr>
          <w:rFonts w:ascii="Times New Roman" w:hAnsi="Times New Roman" w:cs="Times New Roman"/>
          <w:sz w:val="24"/>
          <w:szCs w:val="24"/>
        </w:rPr>
      </w:pPr>
      <w:r w:rsidRPr="005C5F03">
        <w:rPr>
          <w:rFonts w:ascii="Times New Roman" w:eastAsia="Times New Roman" w:hAnsi="Times New Roman" w:cs="Times New Roman"/>
          <w:color w:val="222222"/>
          <w:sz w:val="24"/>
          <w:szCs w:val="24"/>
        </w:rPr>
        <w:t>Parth Parikh, Parloop Bhatt</w:t>
      </w:r>
      <w:r w:rsidRPr="005C5F03">
        <w:rPr>
          <w:rFonts w:ascii="Times New Roman" w:eastAsia="Times New Roman" w:hAnsi="Times New Roman" w:cs="Times New Roman"/>
          <w:color w:val="222222"/>
          <w:sz w:val="24"/>
          <w:szCs w:val="24"/>
        </w:rPr>
        <w:t xml:space="preserve"> et al.,</w:t>
      </w:r>
      <w:r w:rsidR="004A1A22" w:rsidRPr="005C5F03">
        <w:rPr>
          <w:rFonts w:ascii="Times New Roman" w:eastAsia="Times New Roman" w:hAnsi="Times New Roman" w:cs="Times New Roman"/>
          <w:color w:val="222222"/>
          <w:sz w:val="24"/>
          <w:szCs w:val="24"/>
        </w:rPr>
        <w:t>First-in-Human Use of Coronary Sinus Reducer in Refractory Angina: 12 Years Anatomical and Clinical Outcomes</w:t>
      </w:r>
      <w:r w:rsidRPr="005C5F03">
        <w:rPr>
          <w:rFonts w:ascii="Times New Roman" w:eastAsia="Times New Roman" w:hAnsi="Times New Roman" w:cs="Times New Roman"/>
          <w:color w:val="222222"/>
          <w:sz w:val="24"/>
          <w:szCs w:val="24"/>
        </w:rPr>
        <w:t>.</w:t>
      </w:r>
      <w:r w:rsidRPr="005C5F03">
        <w:rPr>
          <w:sz w:val="24"/>
          <w:szCs w:val="24"/>
        </w:rPr>
        <w:t xml:space="preserve"> </w:t>
      </w:r>
      <w:r w:rsidR="003A6692" w:rsidRPr="005C5F03">
        <w:rPr>
          <w:sz w:val="24"/>
          <w:szCs w:val="24"/>
        </w:rPr>
        <w:t xml:space="preserve">Sept. 2018 </w:t>
      </w:r>
      <w:r w:rsidRPr="005C5F03">
        <w:rPr>
          <w:sz w:val="24"/>
          <w:szCs w:val="24"/>
        </w:rPr>
        <w:t>J</w:t>
      </w:r>
      <w:r w:rsidR="003A6692" w:rsidRPr="005C5F03">
        <w:rPr>
          <w:sz w:val="24"/>
          <w:szCs w:val="24"/>
        </w:rPr>
        <w:t xml:space="preserve">ournal of American college of cardiology </w:t>
      </w:r>
      <w:r w:rsidRPr="005C5F03">
        <w:rPr>
          <w:sz w:val="24"/>
          <w:szCs w:val="24"/>
        </w:rPr>
        <w:t xml:space="preserve"> </w:t>
      </w:r>
      <w:r w:rsidRPr="005C5F03">
        <w:rPr>
          <w:sz w:val="24"/>
          <w:szCs w:val="24"/>
        </w:rPr>
        <w:t>061618-2382R</w:t>
      </w:r>
    </w:p>
    <w:p w:rsidR="005C5F03" w:rsidRPr="005C5F03" w:rsidRDefault="005E4BB2" w:rsidP="00155EAF">
      <w:pPr>
        <w:pStyle w:val="ListParagraph"/>
        <w:numPr>
          <w:ilvl w:val="0"/>
          <w:numId w:val="2"/>
        </w:numPr>
        <w:shd w:val="clear" w:color="auto" w:fill="FFFFFF"/>
        <w:tabs>
          <w:tab w:val="left" w:pos="270"/>
        </w:tabs>
        <w:autoSpaceDE w:val="0"/>
        <w:autoSpaceDN w:val="0"/>
        <w:adjustRightInd w:val="0"/>
        <w:spacing w:after="100"/>
        <w:ind w:left="0" w:firstLine="0"/>
        <w:jc w:val="both"/>
        <w:rPr>
          <w:rFonts w:ascii="Times New Roman" w:hAnsi="Times New Roman" w:cs="Times New Roman"/>
          <w:color w:val="000000"/>
          <w:sz w:val="24"/>
          <w:szCs w:val="24"/>
          <w:lang w:val="en-IN" w:eastAsia="en-IN"/>
        </w:rPr>
      </w:pPr>
      <w:r w:rsidRPr="005C5F03">
        <w:rPr>
          <w:rFonts w:ascii="Times New Roman" w:hAnsi="Times New Roman" w:cs="Times New Roman"/>
          <w:sz w:val="24"/>
          <w:szCs w:val="24"/>
        </w:rPr>
        <w:t>Parloop Bhatt, Akshita Bhatt A Family History o</w:t>
      </w:r>
      <w:r w:rsidRPr="005C5F03">
        <w:rPr>
          <w:rFonts w:ascii="Times New Roman" w:hAnsi="Times New Roman" w:cs="Times New Roman"/>
          <w:sz w:val="24"/>
          <w:szCs w:val="24"/>
        </w:rPr>
        <w:t xml:space="preserve">f Depression </w:t>
      </w:r>
      <w:r w:rsidRPr="005C5F03">
        <w:rPr>
          <w:rFonts w:ascii="Times New Roman" w:hAnsi="Times New Roman" w:cs="Times New Roman"/>
          <w:sz w:val="24"/>
          <w:szCs w:val="24"/>
        </w:rPr>
        <w:t>a</w:t>
      </w:r>
      <w:r w:rsidRPr="005C5F03">
        <w:rPr>
          <w:rFonts w:ascii="Times New Roman" w:hAnsi="Times New Roman" w:cs="Times New Roman"/>
          <w:sz w:val="24"/>
          <w:szCs w:val="24"/>
        </w:rPr>
        <w:t xml:space="preserve">nd Depression </w:t>
      </w:r>
      <w:r w:rsidRPr="005C5F03">
        <w:rPr>
          <w:rFonts w:ascii="Times New Roman" w:hAnsi="Times New Roman" w:cs="Times New Roman"/>
          <w:sz w:val="24"/>
          <w:szCs w:val="24"/>
        </w:rPr>
        <w:t>a</w:t>
      </w:r>
      <w:r w:rsidRPr="005C5F03">
        <w:rPr>
          <w:rFonts w:ascii="Times New Roman" w:hAnsi="Times New Roman" w:cs="Times New Roman"/>
          <w:sz w:val="24"/>
          <w:szCs w:val="24"/>
        </w:rPr>
        <w:t>s Equal Contributing Risk</w:t>
      </w:r>
      <w:r w:rsidRPr="005C5F03">
        <w:rPr>
          <w:rFonts w:ascii="Times New Roman" w:hAnsi="Times New Roman" w:cs="Times New Roman"/>
          <w:sz w:val="24"/>
          <w:szCs w:val="24"/>
        </w:rPr>
        <w:t xml:space="preserve"> </w:t>
      </w:r>
      <w:r w:rsidRPr="005C5F03">
        <w:rPr>
          <w:rFonts w:ascii="Times New Roman" w:hAnsi="Times New Roman" w:cs="Times New Roman"/>
          <w:sz w:val="24"/>
          <w:szCs w:val="24"/>
        </w:rPr>
        <w:t xml:space="preserve">Factors </w:t>
      </w:r>
      <w:r w:rsidRPr="005C5F03">
        <w:rPr>
          <w:rFonts w:ascii="Times New Roman" w:hAnsi="Times New Roman" w:cs="Times New Roman"/>
          <w:sz w:val="24"/>
          <w:szCs w:val="24"/>
        </w:rPr>
        <w:t>f</w:t>
      </w:r>
      <w:r w:rsidRPr="005C5F03">
        <w:rPr>
          <w:rFonts w:ascii="Times New Roman" w:hAnsi="Times New Roman" w:cs="Times New Roman"/>
          <w:sz w:val="24"/>
          <w:szCs w:val="24"/>
        </w:rPr>
        <w:t>or Cardiovascular Disease: Unwanted Synergism</w:t>
      </w:r>
      <w:r w:rsidRPr="005C5F03">
        <w:rPr>
          <w:rFonts w:ascii="Times New Roman" w:hAnsi="Times New Roman" w:cs="Times New Roman"/>
          <w:sz w:val="24"/>
          <w:szCs w:val="24"/>
        </w:rPr>
        <w:t>.</w:t>
      </w:r>
      <w:r w:rsidR="003A6692" w:rsidRPr="005C5F03">
        <w:rPr>
          <w:rFonts w:ascii="Times New Roman" w:hAnsi="Times New Roman" w:cs="Times New Roman"/>
          <w:sz w:val="24"/>
          <w:szCs w:val="24"/>
        </w:rPr>
        <w:t xml:space="preserve"> </w:t>
      </w:r>
      <w:r w:rsidR="003A6692" w:rsidRPr="005C5F03">
        <w:rPr>
          <w:rFonts w:ascii="Times New Roman" w:hAnsi="Times New Roman" w:cs="Times New Roman"/>
          <w:sz w:val="24"/>
          <w:szCs w:val="24"/>
        </w:rPr>
        <w:t>2017</w:t>
      </w:r>
      <w:r w:rsidRPr="005C5F03">
        <w:rPr>
          <w:rFonts w:ascii="Times New Roman" w:hAnsi="Times New Roman" w:cs="Times New Roman"/>
          <w:sz w:val="24"/>
          <w:szCs w:val="24"/>
        </w:rPr>
        <w:t xml:space="preserve"> </w:t>
      </w:r>
      <w:r w:rsidRPr="005C5F03">
        <w:rPr>
          <w:rFonts w:ascii="Times New Roman" w:hAnsi="Times New Roman" w:cs="Times New Roman"/>
          <w:sz w:val="24"/>
          <w:szCs w:val="24"/>
        </w:rPr>
        <w:t xml:space="preserve"> Journal </w:t>
      </w:r>
      <w:r w:rsidRPr="005C5F03">
        <w:rPr>
          <w:rFonts w:ascii="Times New Roman" w:hAnsi="Times New Roman" w:cs="Times New Roman"/>
          <w:sz w:val="24"/>
          <w:szCs w:val="24"/>
        </w:rPr>
        <w:t>o</w:t>
      </w:r>
      <w:r w:rsidRPr="005C5F03">
        <w:rPr>
          <w:rFonts w:ascii="Times New Roman" w:hAnsi="Times New Roman" w:cs="Times New Roman"/>
          <w:sz w:val="24"/>
          <w:szCs w:val="24"/>
        </w:rPr>
        <w:t>f</w:t>
      </w:r>
      <w:r w:rsidRPr="005C5F03">
        <w:rPr>
          <w:rFonts w:ascii="Times New Roman" w:hAnsi="Times New Roman" w:cs="Times New Roman"/>
          <w:sz w:val="24"/>
          <w:szCs w:val="24"/>
        </w:rPr>
        <w:t xml:space="preserve"> </w:t>
      </w:r>
      <w:r w:rsidRPr="005C5F03">
        <w:rPr>
          <w:rFonts w:ascii="Times New Roman" w:hAnsi="Times New Roman" w:cs="Times New Roman"/>
          <w:sz w:val="24"/>
          <w:szCs w:val="24"/>
        </w:rPr>
        <w:t>Medical And Biological Frontiers</w:t>
      </w:r>
      <w:r w:rsidRPr="005C5F03">
        <w:rPr>
          <w:rFonts w:ascii="Times New Roman" w:hAnsi="Times New Roman" w:cs="Times New Roman"/>
          <w:sz w:val="24"/>
          <w:szCs w:val="24"/>
        </w:rPr>
        <w:t xml:space="preserve">, </w:t>
      </w:r>
      <w:r w:rsidRPr="005C5F03">
        <w:rPr>
          <w:rFonts w:ascii="Times New Roman" w:hAnsi="Times New Roman" w:cs="Times New Roman"/>
          <w:sz w:val="24"/>
          <w:szCs w:val="24"/>
        </w:rPr>
        <w:t>Volume 23, Issue 3, ,263-281</w:t>
      </w:r>
    </w:p>
    <w:p w:rsidR="005C5F03" w:rsidRPr="005C5F03" w:rsidRDefault="005E4BB2" w:rsidP="00155EAF">
      <w:pPr>
        <w:pStyle w:val="ListParagraph"/>
        <w:numPr>
          <w:ilvl w:val="0"/>
          <w:numId w:val="2"/>
        </w:numPr>
        <w:shd w:val="clear" w:color="auto" w:fill="FFFFFF"/>
        <w:tabs>
          <w:tab w:val="left" w:pos="270"/>
        </w:tabs>
        <w:autoSpaceDE w:val="0"/>
        <w:autoSpaceDN w:val="0"/>
        <w:adjustRightInd w:val="0"/>
        <w:spacing w:after="100"/>
        <w:ind w:left="0" w:firstLine="0"/>
        <w:jc w:val="both"/>
        <w:rPr>
          <w:rFonts w:ascii="Times New Roman" w:hAnsi="Times New Roman" w:cs="Times New Roman"/>
          <w:color w:val="000000"/>
          <w:sz w:val="24"/>
          <w:szCs w:val="24"/>
        </w:rPr>
      </w:pPr>
      <w:r w:rsidRPr="005C5F03">
        <w:rPr>
          <w:rFonts w:ascii="SkvwcdAdvTTb8864ccf.B" w:hAnsi="SkvwcdAdvTTb8864ccf.B" w:cs="SkvwcdAdvTTb8864ccf.B"/>
          <w:color w:val="131413"/>
          <w:sz w:val="24"/>
          <w:szCs w:val="24"/>
        </w:rPr>
        <w:t>Parloop Bhatt</w:t>
      </w:r>
      <w:r w:rsidRPr="005C5F03">
        <w:rPr>
          <w:rFonts w:ascii="SkvwcdAdvTTb8864ccf.B" w:hAnsi="SkvwcdAdvTTb8864ccf.B" w:cs="SkvwcdAdvTTb8864ccf.B"/>
          <w:color w:val="131413"/>
          <w:sz w:val="24"/>
          <w:szCs w:val="24"/>
        </w:rPr>
        <w:t>,</w:t>
      </w:r>
      <w:r w:rsidRPr="005C5F03">
        <w:rPr>
          <w:rFonts w:ascii="SkvwcdAdvTTb8864ccf.B" w:hAnsi="SkvwcdAdvTTb8864ccf.B" w:cs="SkvwcdAdvTTb8864ccf.B"/>
          <w:color w:val="131413"/>
          <w:sz w:val="24"/>
          <w:szCs w:val="24"/>
        </w:rPr>
        <w:t>Parth Parikh</w:t>
      </w:r>
      <w:r w:rsidR="006751A9" w:rsidRPr="005C5F03">
        <w:rPr>
          <w:rFonts w:ascii="SkvwcdAdvTTb8864ccf.B" w:hAnsi="SkvwcdAdvTTb8864ccf.B" w:cs="SkvwcdAdvTTb8864ccf.B"/>
          <w:color w:val="131413"/>
          <w:sz w:val="24"/>
          <w:szCs w:val="24"/>
        </w:rPr>
        <w:t xml:space="preserve"> et al., </w:t>
      </w:r>
      <w:r w:rsidR="006751A9" w:rsidRPr="005C5F03">
        <w:rPr>
          <w:rFonts w:ascii="Times New Roman" w:hAnsi="Times New Roman" w:cs="Times New Roman"/>
          <w:color w:val="000000"/>
          <w:sz w:val="24"/>
          <w:szCs w:val="24"/>
          <w:lang w:val="en-IN" w:eastAsia="en-IN"/>
        </w:rPr>
        <w:t>Unique Aspects of Coronary Artery Disease in Indian Women.</w:t>
      </w:r>
      <w:r w:rsidR="006751A9" w:rsidRPr="005C5F03">
        <w:rPr>
          <w:rFonts w:ascii="Times New Roman" w:hAnsi="Times New Roman" w:cs="Times New Roman"/>
          <w:color w:val="000000"/>
          <w:sz w:val="24"/>
          <w:szCs w:val="24"/>
        </w:rPr>
        <w:t xml:space="preserve"> </w:t>
      </w:r>
      <w:r w:rsidR="006751A9" w:rsidRPr="005C5F03">
        <w:rPr>
          <w:rFonts w:ascii="Times New Roman" w:hAnsi="Times New Roman" w:cs="Times New Roman"/>
          <w:color w:val="000000"/>
          <w:sz w:val="24"/>
          <w:szCs w:val="24"/>
        </w:rPr>
        <w:t>Cardiovascular Drugs and Therapy</w:t>
      </w:r>
      <w:r w:rsidR="006751A9" w:rsidRPr="005C5F03">
        <w:rPr>
          <w:rFonts w:ascii="Times New Roman" w:hAnsi="Times New Roman" w:cs="Times New Roman"/>
          <w:color w:val="000000"/>
          <w:sz w:val="24"/>
          <w:szCs w:val="24"/>
        </w:rPr>
        <w:t>.</w:t>
      </w:r>
      <w:r w:rsidR="006751A9" w:rsidRPr="005C5F03">
        <w:rPr>
          <w:rStyle w:val="st1"/>
          <w:rFonts w:ascii="Times New Roman" w:hAnsi="Times New Roman" w:cs="Times New Roman"/>
          <w:color w:val="545454"/>
          <w:sz w:val="24"/>
          <w:szCs w:val="24"/>
        </w:rPr>
        <w:t xml:space="preserve"> </w:t>
      </w:r>
      <w:r w:rsidR="003A6692" w:rsidRPr="005C5F03">
        <w:rPr>
          <w:rStyle w:val="st1"/>
          <w:rFonts w:ascii="Times New Roman" w:hAnsi="Times New Roman" w:cs="Times New Roman"/>
          <w:color w:val="545454"/>
          <w:sz w:val="24"/>
          <w:szCs w:val="24"/>
        </w:rPr>
        <w:t>,</w:t>
      </w:r>
      <w:r w:rsidR="003A6692" w:rsidRPr="005C5F03">
        <w:rPr>
          <w:rFonts w:ascii="Times New Roman" w:hAnsi="Times New Roman" w:cs="Times New Roman"/>
          <w:color w:val="000000"/>
          <w:sz w:val="24"/>
          <w:szCs w:val="24"/>
        </w:rPr>
        <w:t xml:space="preserve"> 2015,</w:t>
      </w:r>
      <w:r w:rsidR="003A6692" w:rsidRPr="005C5F03">
        <w:rPr>
          <w:rFonts w:ascii="Times New Roman" w:hAnsi="Times New Roman" w:cs="Times New Roman"/>
          <w:color w:val="000000"/>
          <w:sz w:val="24"/>
          <w:szCs w:val="24"/>
          <w:lang w:val="en-IN" w:eastAsia="en-IN"/>
        </w:rPr>
        <w:t xml:space="preserve"> </w:t>
      </w:r>
      <w:r w:rsidR="006751A9" w:rsidRPr="005C5F03">
        <w:rPr>
          <w:rStyle w:val="st1"/>
          <w:rFonts w:ascii="Times New Roman" w:hAnsi="Times New Roman" w:cs="Times New Roman"/>
          <w:color w:val="545454"/>
          <w:sz w:val="24"/>
          <w:szCs w:val="24"/>
        </w:rPr>
        <w:t>Aug;29(4):369-76</w:t>
      </w:r>
      <w:r w:rsidR="006751A9" w:rsidRPr="005C5F03">
        <w:rPr>
          <w:rFonts w:ascii="Times New Roman" w:hAnsi="Times New Roman" w:cs="Times New Roman"/>
          <w:color w:val="000000"/>
          <w:sz w:val="24"/>
          <w:szCs w:val="24"/>
          <w:lang w:val="en-IN" w:eastAsia="en-IN"/>
        </w:rPr>
        <w:t>DOI: 10.1007/s10557-015-6594-</w:t>
      </w:r>
    </w:p>
    <w:p w:rsidR="00214987" w:rsidRPr="005C5F03" w:rsidRDefault="003A6692" w:rsidP="00155EAF">
      <w:pPr>
        <w:pStyle w:val="ListParagraph"/>
        <w:numPr>
          <w:ilvl w:val="0"/>
          <w:numId w:val="2"/>
        </w:numPr>
        <w:shd w:val="clear" w:color="auto" w:fill="FFFFFF"/>
        <w:tabs>
          <w:tab w:val="left" w:pos="270"/>
        </w:tabs>
        <w:autoSpaceDE w:val="0"/>
        <w:autoSpaceDN w:val="0"/>
        <w:adjustRightInd w:val="0"/>
        <w:spacing w:after="100"/>
        <w:ind w:left="0" w:firstLine="0"/>
        <w:jc w:val="both"/>
        <w:rPr>
          <w:rFonts w:ascii="Times New Roman" w:hAnsi="Times New Roman" w:cs="Times New Roman"/>
          <w:color w:val="000000"/>
          <w:sz w:val="24"/>
          <w:szCs w:val="24"/>
        </w:rPr>
      </w:pPr>
      <w:r w:rsidRPr="005C5F03">
        <w:rPr>
          <w:rFonts w:ascii="Times New Roman" w:hAnsi="Times New Roman" w:cs="Times New Roman"/>
          <w:color w:val="000000"/>
          <w:sz w:val="24"/>
          <w:szCs w:val="24"/>
          <w:lang w:val="en-IN" w:eastAsia="en-IN"/>
        </w:rPr>
        <w:t xml:space="preserve">Parloop Bhatt </w:t>
      </w:r>
      <w:r w:rsidRPr="005C5F03">
        <w:rPr>
          <w:rFonts w:ascii="Times New Roman" w:hAnsi="Times New Roman" w:cs="Times New Roman"/>
          <w:sz w:val="24"/>
          <w:szCs w:val="24"/>
        </w:rPr>
        <w:t>Gender Disparity in cardiovascular Disease : Contributing Facts and Fables</w:t>
      </w:r>
      <w:r w:rsidRPr="005C5F03">
        <w:rPr>
          <w:rFonts w:ascii="Times New Roman" w:hAnsi="Times New Roman" w:cs="Times New Roman"/>
          <w:sz w:val="24"/>
          <w:szCs w:val="24"/>
        </w:rPr>
        <w:t xml:space="preserve">, </w:t>
      </w:r>
      <w:r w:rsidRPr="005C5F03">
        <w:rPr>
          <w:rFonts w:ascii="Times New Roman" w:hAnsi="Times New Roman" w:cs="Times New Roman"/>
          <w:sz w:val="24"/>
          <w:szCs w:val="24"/>
        </w:rPr>
        <w:t>In:Coronary Artery Disease :Characteristics, Management and Long term Outcomes;Editor:Courtney Burke -Nova science publishers Inc.USA,</w:t>
      </w:r>
      <w:r w:rsidRPr="005C5F03">
        <w:rPr>
          <w:rFonts w:ascii="Times New Roman" w:hAnsi="Times New Roman" w:cs="Times New Roman"/>
          <w:sz w:val="24"/>
          <w:szCs w:val="24"/>
        </w:rPr>
        <w:t xml:space="preserve"> </w:t>
      </w:r>
      <w:r w:rsidRPr="005C5F03">
        <w:rPr>
          <w:rFonts w:ascii="Times New Roman" w:hAnsi="Times New Roman" w:cs="Times New Roman"/>
          <w:sz w:val="24"/>
          <w:szCs w:val="24"/>
        </w:rPr>
        <w:t>2016</w:t>
      </w:r>
      <w:r w:rsidRPr="005C5F03">
        <w:rPr>
          <w:rFonts w:ascii="Times New Roman" w:hAnsi="Times New Roman" w:cs="Times New Roman"/>
          <w:sz w:val="24"/>
          <w:szCs w:val="24"/>
        </w:rPr>
        <w:t xml:space="preserve"> </w:t>
      </w:r>
      <w:r w:rsidRPr="005C5F03">
        <w:rPr>
          <w:rFonts w:ascii="Times New Roman" w:hAnsi="Times New Roman" w:cs="Times New Roman"/>
          <w:sz w:val="24"/>
          <w:szCs w:val="24"/>
        </w:rPr>
        <w:t>Chapter 3(pp83-116) ISBN;978-1-63485-338-5,83-117</w:t>
      </w:r>
    </w:p>
    <w:p w:rsidR="005C5F03" w:rsidRDefault="005C5F03" w:rsidP="006751A9">
      <w:pPr>
        <w:jc w:val="both"/>
        <w:rPr>
          <w:rFonts w:ascii="Times New Roman" w:hAnsi="Times New Roman" w:cs="Times New Roman"/>
          <w:color w:val="000000"/>
          <w:sz w:val="24"/>
          <w:szCs w:val="24"/>
          <w:lang w:val="en-IN" w:eastAsia="en-IN"/>
        </w:rPr>
        <w:sectPr w:rsidR="005C5F03" w:rsidSect="005C5F03">
          <w:type w:val="continuous"/>
          <w:pgSz w:w="12240" w:h="15840"/>
          <w:pgMar w:top="1440" w:right="1440" w:bottom="1440" w:left="1440" w:header="720" w:footer="720" w:gutter="0"/>
          <w:cols w:num="2" w:space="720"/>
          <w:docGrid w:linePitch="360"/>
        </w:sectPr>
      </w:pPr>
    </w:p>
    <w:p w:rsidR="006751A9" w:rsidRPr="003A6692" w:rsidRDefault="006751A9" w:rsidP="006751A9">
      <w:pPr>
        <w:jc w:val="both"/>
        <w:rPr>
          <w:rFonts w:ascii="Times New Roman" w:hAnsi="Times New Roman" w:cs="Times New Roman"/>
          <w:color w:val="000000"/>
          <w:sz w:val="24"/>
          <w:szCs w:val="24"/>
          <w:lang w:val="en-IN" w:eastAsia="en-IN"/>
        </w:rPr>
      </w:pPr>
    </w:p>
    <w:p w:rsidR="005E4BB2" w:rsidRPr="005E4BB2" w:rsidRDefault="005E4BB2" w:rsidP="006751A9">
      <w:pPr>
        <w:autoSpaceDE w:val="0"/>
        <w:autoSpaceDN w:val="0"/>
        <w:adjustRightInd w:val="0"/>
        <w:spacing w:after="0" w:line="240" w:lineRule="auto"/>
        <w:rPr>
          <w:rFonts w:ascii="Times New Roman" w:eastAsia="Times New Roman" w:hAnsi="Times New Roman" w:cs="Times New Roman"/>
          <w:color w:val="222222"/>
          <w:sz w:val="20"/>
          <w:szCs w:val="20"/>
        </w:rPr>
      </w:pPr>
    </w:p>
    <w:p w:rsidR="007E3665" w:rsidRDefault="007E3665" w:rsidP="003A6692">
      <w:pPr>
        <w:spacing w:after="0" w:line="240" w:lineRule="auto"/>
        <w:ind w:right="-288"/>
        <w:jc w:val="both"/>
        <w:rPr>
          <w:rFonts w:ascii="Times New Roman" w:hAnsi="Times New Roman" w:cs="Times New Roman"/>
          <w:bCs/>
          <w:sz w:val="20"/>
          <w:szCs w:val="20"/>
        </w:rPr>
        <w:sectPr w:rsidR="007E3665" w:rsidSect="005C5F03">
          <w:type w:val="continuous"/>
          <w:pgSz w:w="12240" w:h="15840"/>
          <w:pgMar w:top="1440" w:right="1440" w:bottom="1440" w:left="1440" w:header="720" w:footer="720" w:gutter="0"/>
          <w:cols w:space="720"/>
          <w:docGrid w:linePitch="360"/>
        </w:sectPr>
      </w:pPr>
    </w:p>
    <w:p w:rsidR="001A3BB4" w:rsidRDefault="007E3665" w:rsidP="003A6692">
      <w:pPr>
        <w:spacing w:after="0" w:line="240" w:lineRule="auto"/>
        <w:ind w:right="-288"/>
        <w:jc w:val="both"/>
        <w:rPr>
          <w:rFonts w:ascii="Times New Roman" w:hAnsi="Times New Roman" w:cs="Times New Roman"/>
          <w:bCs/>
          <w:sz w:val="20"/>
          <w:szCs w:val="20"/>
        </w:rPr>
        <w:sectPr w:rsidR="001A3BB4" w:rsidSect="007E3665">
          <w:type w:val="continuous"/>
          <w:pgSz w:w="12240" w:h="15840"/>
          <w:pgMar w:top="1440" w:right="1440" w:bottom="1440" w:left="1440" w:header="720" w:footer="720" w:gutter="0"/>
          <w:cols w:num="2" w:space="180"/>
          <w:docGrid w:linePitch="360"/>
        </w:sectPr>
      </w:pPr>
      <w:r w:rsidRPr="007E3665">
        <w:rPr>
          <w:rFonts w:ascii="Times New Roman" w:hAnsi="Times New Roman" w:cs="Times New Roman"/>
          <w:bCs/>
          <w:sz w:val="20"/>
          <w:szCs w:val="20"/>
        </w:rPr>
        <w:lastRenderedPageBreak/>
        <w:drawing>
          <wp:inline distT="0" distB="0" distL="0" distR="0" wp14:anchorId="4C12F9C1" wp14:editId="0F04479E">
            <wp:extent cx="798897" cy="1098483"/>
            <wp:effectExtent l="0" t="0" r="1270" b="6985"/>
            <wp:docPr id="1026" name="Picture 2" descr="C:\Users\hp\Pictures\parloop pics\IMG_3291 PABhatt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hp\Pictures\parloop pics\IMG_3291 PABhatt pic.jpg"/>
                    <pic:cNvPicPr>
                      <a:picLocks noChangeAspect="1" noChangeArrowheads="1"/>
                    </pic:cNvPicPr>
                  </pic:nvPicPr>
                  <pic:blipFill>
                    <a:blip r:embed="rId7" cstate="print"/>
                    <a:srcRect/>
                    <a:stretch>
                      <a:fillRect/>
                    </a:stretch>
                  </pic:blipFill>
                  <pic:spPr bwMode="auto">
                    <a:xfrm>
                      <a:off x="0" y="0"/>
                      <a:ext cx="801357" cy="1101865"/>
                    </a:xfrm>
                    <a:prstGeom prst="rect">
                      <a:avLst/>
                    </a:prstGeom>
                    <a:noFill/>
                  </pic:spPr>
                </pic:pic>
              </a:graphicData>
            </a:graphic>
          </wp:inline>
        </w:drawing>
      </w:r>
    </w:p>
    <w:p w:rsidR="007E3665" w:rsidRDefault="007E3665" w:rsidP="003A6692">
      <w:pPr>
        <w:spacing w:after="0" w:line="240" w:lineRule="auto"/>
        <w:ind w:right="-288"/>
        <w:jc w:val="both"/>
        <w:rPr>
          <w:rFonts w:ascii="Times New Roman" w:hAnsi="Times New Roman" w:cs="Times New Roman"/>
          <w:bCs/>
          <w:sz w:val="20"/>
          <w:szCs w:val="20"/>
        </w:rPr>
      </w:pPr>
    </w:p>
    <w:p w:rsidR="003A6692" w:rsidRPr="00C36900" w:rsidRDefault="003A6692" w:rsidP="003A6692">
      <w:pPr>
        <w:spacing w:after="0" w:line="240" w:lineRule="auto"/>
        <w:ind w:right="-288"/>
        <w:jc w:val="both"/>
        <w:rPr>
          <w:rFonts w:ascii="Times New Roman" w:hAnsi="Times New Roman" w:cs="Times New Roman"/>
          <w:sz w:val="20"/>
          <w:szCs w:val="20"/>
        </w:rPr>
      </w:pPr>
      <w:bookmarkStart w:id="0" w:name="_GoBack"/>
      <w:bookmarkEnd w:id="0"/>
      <w:r w:rsidRPr="00C36900">
        <w:rPr>
          <w:rFonts w:ascii="Times New Roman" w:hAnsi="Times New Roman" w:cs="Times New Roman"/>
          <w:bCs/>
          <w:sz w:val="20"/>
          <w:szCs w:val="20"/>
        </w:rPr>
        <w:t>A pharmacologist and clinical pharmacist by profession with over</w:t>
      </w:r>
      <w:r>
        <w:rPr>
          <w:rFonts w:ascii="Times New Roman" w:hAnsi="Times New Roman" w:cs="Times New Roman"/>
          <w:bCs/>
          <w:sz w:val="20"/>
          <w:szCs w:val="20"/>
        </w:rPr>
        <w:t xml:space="preserve"> 32 </w:t>
      </w:r>
      <w:r w:rsidRPr="00C36900">
        <w:rPr>
          <w:rFonts w:ascii="Times New Roman" w:hAnsi="Times New Roman" w:cs="Times New Roman"/>
          <w:bCs/>
          <w:sz w:val="20"/>
          <w:szCs w:val="20"/>
        </w:rPr>
        <w:t>years of teaching and research experience serve at L. M. College of Pharmacy, Ahmedabad, India.</w:t>
      </w:r>
      <w:r>
        <w:rPr>
          <w:rFonts w:ascii="Times New Roman" w:hAnsi="Times New Roman" w:cs="Times New Roman"/>
          <w:bCs/>
          <w:sz w:val="20"/>
          <w:szCs w:val="20"/>
        </w:rPr>
        <w:t xml:space="preserve"> S</w:t>
      </w:r>
      <w:r w:rsidRPr="00C36900">
        <w:rPr>
          <w:rFonts w:ascii="Times New Roman" w:hAnsi="Times New Roman" w:cs="Times New Roman"/>
          <w:bCs/>
          <w:sz w:val="20"/>
          <w:szCs w:val="20"/>
        </w:rPr>
        <w:t xml:space="preserve">erve several Independent /Institutional Ethics committees reviewing clinical global trials. Compliment as a scientific advisor to reputed organizations involved in health care research initiatives. Have the distinction of being an Harvard alumni having completed with commendation Global Clinical Scholar Research Training Program affiliated with Harvard Medical school. </w:t>
      </w:r>
      <w:r>
        <w:rPr>
          <w:rFonts w:ascii="Times New Roman" w:hAnsi="Times New Roman" w:cs="Times New Roman"/>
          <w:bCs/>
          <w:sz w:val="20"/>
          <w:szCs w:val="20"/>
        </w:rPr>
        <w:t>H</w:t>
      </w:r>
      <w:r w:rsidRPr="00C36900">
        <w:rPr>
          <w:rFonts w:ascii="Times New Roman" w:hAnsi="Times New Roman" w:cs="Times New Roman"/>
          <w:bCs/>
          <w:sz w:val="20"/>
          <w:szCs w:val="20"/>
        </w:rPr>
        <w:t>ave presented research work at various international and national conferences (49) and published research/review articles(90) in various scientifically acclaimed national/international journals. On invitation visited Karolinska Institute, Stockholm, Sweden as a guest researcher</w:t>
      </w:r>
      <w:r>
        <w:rPr>
          <w:rFonts w:ascii="Times New Roman" w:hAnsi="Times New Roman" w:cs="Times New Roman"/>
          <w:bCs/>
          <w:sz w:val="20"/>
          <w:szCs w:val="20"/>
        </w:rPr>
        <w:t>;</w:t>
      </w:r>
      <w:r w:rsidRPr="00C36900">
        <w:rPr>
          <w:rFonts w:ascii="Times New Roman" w:hAnsi="Times New Roman" w:cs="Times New Roman"/>
          <w:bCs/>
          <w:sz w:val="20"/>
          <w:szCs w:val="20"/>
        </w:rPr>
        <w:t xml:space="preserve"> delivered a guest lecture at mhealth Initiatives, Chicago, 2011 and since </w:t>
      </w:r>
      <w:r>
        <w:rPr>
          <w:rFonts w:ascii="Times New Roman" w:hAnsi="Times New Roman" w:cs="Times New Roman"/>
          <w:bCs/>
          <w:sz w:val="20"/>
          <w:szCs w:val="20"/>
        </w:rPr>
        <w:t xml:space="preserve">2010 </w:t>
      </w:r>
      <w:r w:rsidRPr="00C36900">
        <w:rPr>
          <w:rFonts w:ascii="Times New Roman" w:hAnsi="Times New Roman" w:cs="Times New Roman"/>
          <w:bCs/>
          <w:sz w:val="20"/>
          <w:szCs w:val="20"/>
        </w:rPr>
        <w:t xml:space="preserve">have research representation at the prestigious American College of Cardiology </w:t>
      </w:r>
      <w:r>
        <w:rPr>
          <w:rFonts w:ascii="Times New Roman" w:hAnsi="Times New Roman" w:cs="Times New Roman"/>
          <w:bCs/>
          <w:sz w:val="20"/>
          <w:szCs w:val="20"/>
        </w:rPr>
        <w:t>.</w:t>
      </w:r>
    </w:p>
    <w:p w:rsidR="007E3665" w:rsidRDefault="007E3665" w:rsidP="003A6692">
      <w:pPr>
        <w:pStyle w:val="ListParagraph"/>
        <w:jc w:val="both"/>
        <w:rPr>
          <w:rFonts w:ascii="NpbdrfAdvTT3713a231" w:hAnsi="NpbdrfAdvTT3713a231" w:cs="NpbdrfAdvTT3713a231"/>
          <w:color w:val="131413"/>
          <w:sz w:val="24"/>
          <w:szCs w:val="24"/>
        </w:rPr>
        <w:sectPr w:rsidR="007E3665" w:rsidSect="001A3BB4">
          <w:type w:val="continuous"/>
          <w:pgSz w:w="12240" w:h="15840"/>
          <w:pgMar w:top="1440" w:right="1440" w:bottom="1440" w:left="1440" w:header="720" w:footer="720" w:gutter="0"/>
          <w:cols w:space="180"/>
          <w:docGrid w:linePitch="360"/>
        </w:sectPr>
      </w:pPr>
    </w:p>
    <w:p w:rsidR="004A1A22" w:rsidRPr="004A1A22" w:rsidRDefault="004A1A22" w:rsidP="003A6692">
      <w:pPr>
        <w:pStyle w:val="ListParagraph"/>
        <w:jc w:val="both"/>
        <w:rPr>
          <w:rFonts w:ascii="NpbdrfAdvTT3713a231" w:hAnsi="NpbdrfAdvTT3713a231" w:cs="NpbdrfAdvTT3713a231"/>
          <w:color w:val="131413"/>
          <w:sz w:val="24"/>
          <w:szCs w:val="24"/>
        </w:rPr>
      </w:pPr>
    </w:p>
    <w:sectPr w:rsidR="004A1A22" w:rsidRPr="004A1A22" w:rsidSect="005C5F0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kvwcdAdvTTb8864ccf.B">
    <w:panose1 w:val="00000000000000000000"/>
    <w:charset w:val="00"/>
    <w:family w:val="roman"/>
    <w:notTrueType/>
    <w:pitch w:val="default"/>
    <w:sig w:usb0="00000003" w:usb1="00000000" w:usb2="00000000" w:usb3="00000000" w:csb0="00000001" w:csb1="00000000"/>
  </w:font>
  <w:font w:name="NpbdrfAdvTT3713a231">
    <w:panose1 w:val="00000000000000000000"/>
    <w:charset w:val="00"/>
    <w:family w:val="roman"/>
    <w:notTrueType/>
    <w:pitch w:val="default"/>
    <w:sig w:usb0="00000003" w:usb1="00000000" w:usb2="00000000" w:usb3="00000000" w:csb0="00000001" w:csb1="00000000"/>
  </w:font>
  <w:font w:name="NhmpjxAdvTT50a2f13e.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61758"/>
    <w:multiLevelType w:val="hybridMultilevel"/>
    <w:tmpl w:val="D87E1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9A3459"/>
    <w:multiLevelType w:val="multilevel"/>
    <w:tmpl w:val="02DA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3C0005"/>
    <w:multiLevelType w:val="hybridMultilevel"/>
    <w:tmpl w:val="C0F4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6D19F2"/>
    <w:multiLevelType w:val="hybridMultilevel"/>
    <w:tmpl w:val="04E8B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431FAC"/>
    <w:multiLevelType w:val="hybridMultilevel"/>
    <w:tmpl w:val="D87E1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666E83"/>
    <w:multiLevelType w:val="hybridMultilevel"/>
    <w:tmpl w:val="D87E1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C43"/>
    <w:rsid w:val="00155EAF"/>
    <w:rsid w:val="001A3BB4"/>
    <w:rsid w:val="00214987"/>
    <w:rsid w:val="0033289A"/>
    <w:rsid w:val="003A6692"/>
    <w:rsid w:val="004A1A22"/>
    <w:rsid w:val="005C5F03"/>
    <w:rsid w:val="005E4BB2"/>
    <w:rsid w:val="006751A9"/>
    <w:rsid w:val="007753FA"/>
    <w:rsid w:val="007A0D20"/>
    <w:rsid w:val="007E3665"/>
    <w:rsid w:val="00D42A45"/>
    <w:rsid w:val="00DE5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A22"/>
    <w:pPr>
      <w:ind w:left="720"/>
      <w:contextualSpacing/>
    </w:pPr>
  </w:style>
  <w:style w:type="character" w:styleId="Hyperlink">
    <w:name w:val="Hyperlink"/>
    <w:rsid w:val="005E4BB2"/>
    <w:rPr>
      <w:color w:val="0000FF"/>
      <w:u w:val="single"/>
    </w:rPr>
  </w:style>
  <w:style w:type="table" w:styleId="TableGrid">
    <w:name w:val="Table Grid"/>
    <w:basedOn w:val="TableNormal"/>
    <w:uiPriority w:val="59"/>
    <w:rsid w:val="005E4BB2"/>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t1">
    <w:name w:val="st1"/>
    <w:basedOn w:val="DefaultParagraphFont"/>
    <w:rsid w:val="005E4BB2"/>
  </w:style>
  <w:style w:type="paragraph" w:styleId="BalloonText">
    <w:name w:val="Balloon Text"/>
    <w:basedOn w:val="Normal"/>
    <w:link w:val="BalloonTextChar"/>
    <w:uiPriority w:val="99"/>
    <w:semiHidden/>
    <w:unhideWhenUsed/>
    <w:rsid w:val="007E36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6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A22"/>
    <w:pPr>
      <w:ind w:left="720"/>
      <w:contextualSpacing/>
    </w:pPr>
  </w:style>
  <w:style w:type="character" w:styleId="Hyperlink">
    <w:name w:val="Hyperlink"/>
    <w:rsid w:val="005E4BB2"/>
    <w:rPr>
      <w:color w:val="0000FF"/>
      <w:u w:val="single"/>
    </w:rPr>
  </w:style>
  <w:style w:type="table" w:styleId="TableGrid">
    <w:name w:val="Table Grid"/>
    <w:basedOn w:val="TableNormal"/>
    <w:uiPriority w:val="59"/>
    <w:rsid w:val="005E4BB2"/>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t1">
    <w:name w:val="st1"/>
    <w:basedOn w:val="DefaultParagraphFont"/>
    <w:rsid w:val="005E4BB2"/>
  </w:style>
  <w:style w:type="paragraph" w:styleId="BalloonText">
    <w:name w:val="Balloon Text"/>
    <w:basedOn w:val="Normal"/>
    <w:link w:val="BalloonTextChar"/>
    <w:uiPriority w:val="99"/>
    <w:semiHidden/>
    <w:unhideWhenUsed/>
    <w:rsid w:val="007E36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6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s12055-018-069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572</Words>
  <Characters>3568</Characters>
  <Application>Microsoft Office Word</Application>
  <DocSecurity>0</DocSecurity>
  <Lines>49</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cimsmw4</dc:creator>
  <cp:keywords/>
  <dc:description/>
  <cp:lastModifiedBy>cimsmw4</cp:lastModifiedBy>
  <cp:revision>5</cp:revision>
  <dcterms:created xsi:type="dcterms:W3CDTF">2019-12-31T08:00:00Z</dcterms:created>
  <dcterms:modified xsi:type="dcterms:W3CDTF">2019-12-31T11:43:00Z</dcterms:modified>
</cp:coreProperties>
</file>