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880" w:rsidRPr="000D3880" w:rsidRDefault="00585D05" w:rsidP="00585D05">
      <w:pPr>
        <w:pStyle w:val="NormalWeb"/>
        <w:spacing w:before="0" w:beforeAutospacing="0" w:after="0" w:afterAutospacing="0" w:line="360" w:lineRule="auto"/>
        <w:jc w:val="center"/>
        <w:rPr>
          <w:rFonts w:asciiTheme="majorBidi" w:eastAsiaTheme="minorHAnsi" w:hAnsiTheme="majorBidi" w:cstheme="majorBidi"/>
          <w:b/>
          <w:bCs/>
          <w:sz w:val="28"/>
          <w:szCs w:val="28"/>
          <w:lang w:val="en-US" w:eastAsia="en-US"/>
        </w:rPr>
      </w:pPr>
      <w:r>
        <w:rPr>
          <w:rFonts w:asciiTheme="majorBidi" w:eastAsiaTheme="minorHAnsi" w:hAnsiTheme="majorBidi" w:cstheme="majorBidi"/>
          <w:b/>
          <w:bCs/>
          <w:sz w:val="28"/>
          <w:szCs w:val="28"/>
          <w:lang w:val="en-US" w:eastAsia="en-US"/>
        </w:rPr>
        <w:t xml:space="preserve">Marek’s Disease in Egyptian Turkeys: Molecular Characterization of the Causative Virus and </w:t>
      </w:r>
      <w:bookmarkStart w:id="0" w:name="_GoBack"/>
      <w:bookmarkEnd w:id="0"/>
      <w:r>
        <w:rPr>
          <w:rFonts w:asciiTheme="majorBidi" w:eastAsiaTheme="minorHAnsi" w:hAnsiTheme="majorBidi" w:cstheme="majorBidi"/>
          <w:b/>
          <w:bCs/>
          <w:sz w:val="28"/>
          <w:szCs w:val="28"/>
          <w:lang w:val="en-US" w:eastAsia="en-US"/>
        </w:rPr>
        <w:t xml:space="preserve">A Novel </w:t>
      </w:r>
      <w:proofErr w:type="spellStart"/>
      <w:r>
        <w:rPr>
          <w:rFonts w:asciiTheme="majorBidi" w:eastAsiaTheme="minorHAnsi" w:hAnsiTheme="majorBidi" w:cstheme="majorBidi"/>
          <w:b/>
          <w:bCs/>
          <w:sz w:val="28"/>
          <w:szCs w:val="28"/>
          <w:lang w:val="en-US" w:eastAsia="en-US"/>
        </w:rPr>
        <w:t>Phylogentic</w:t>
      </w:r>
      <w:proofErr w:type="spellEnd"/>
      <w:r>
        <w:rPr>
          <w:rFonts w:asciiTheme="majorBidi" w:eastAsiaTheme="minorHAnsi" w:hAnsiTheme="majorBidi" w:cstheme="majorBidi"/>
          <w:b/>
          <w:bCs/>
          <w:sz w:val="28"/>
          <w:szCs w:val="28"/>
          <w:lang w:val="en-US" w:eastAsia="en-US"/>
        </w:rPr>
        <w:t xml:space="preserve"> </w:t>
      </w:r>
      <w:r>
        <w:rPr>
          <w:rFonts w:asciiTheme="majorBidi" w:eastAsiaTheme="minorHAnsi" w:hAnsiTheme="majorBidi" w:cstheme="majorBidi"/>
          <w:b/>
          <w:bCs/>
          <w:sz w:val="28"/>
          <w:szCs w:val="28"/>
          <w:lang w:val="en-US" w:eastAsia="en-US"/>
        </w:rPr>
        <w:t>Classification</w:t>
      </w:r>
      <w:r>
        <w:rPr>
          <w:rFonts w:asciiTheme="majorBidi" w:eastAsiaTheme="minorHAnsi" w:hAnsiTheme="majorBidi" w:cstheme="majorBidi"/>
          <w:b/>
          <w:bCs/>
          <w:sz w:val="28"/>
          <w:szCs w:val="28"/>
          <w:lang w:val="en-US" w:eastAsia="en-US"/>
        </w:rPr>
        <w:t xml:space="preserve"> System </w:t>
      </w:r>
    </w:p>
    <w:p w:rsidR="000D3880" w:rsidRDefault="000D3880" w:rsidP="000D3880">
      <w:pPr>
        <w:pStyle w:val="NormalWeb"/>
        <w:spacing w:before="0" w:beforeAutospacing="0" w:after="0" w:afterAutospacing="0" w:line="360" w:lineRule="auto"/>
        <w:rPr>
          <w:rFonts w:asciiTheme="minorBidi" w:hAnsiTheme="minorBidi" w:cstheme="minorBidi"/>
          <w:bCs/>
          <w:color w:val="000000" w:themeColor="text1"/>
          <w:sz w:val="24"/>
          <w:szCs w:val="24"/>
          <w:lang w:val="en-US"/>
        </w:rPr>
      </w:pPr>
    </w:p>
    <w:p w:rsidR="000D3880" w:rsidRPr="000D3880" w:rsidRDefault="000D3880" w:rsidP="000D3880">
      <w:pPr>
        <w:spacing w:after="240" w:line="480" w:lineRule="auto"/>
        <w:ind w:right="43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D3880">
        <w:rPr>
          <w:rFonts w:asciiTheme="majorBidi" w:hAnsiTheme="majorBidi" w:cstheme="majorBidi"/>
          <w:b/>
          <w:bCs/>
          <w:sz w:val="24"/>
          <w:szCs w:val="24"/>
        </w:rPr>
        <w:t>Mahmoud Bayoumi</w:t>
      </w:r>
      <w:r w:rsidRPr="000D3880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0D3880">
        <w:rPr>
          <w:rFonts w:asciiTheme="majorBidi" w:hAnsiTheme="majorBidi" w:cstheme="majorBidi"/>
          <w:b/>
          <w:bCs/>
          <w:sz w:val="24"/>
          <w:szCs w:val="24"/>
        </w:rPr>
        <w:t>, Mohamed El-Saied</w:t>
      </w:r>
      <w:r w:rsidRPr="000D3880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Pr="000D3880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0D3880">
        <w:rPr>
          <w:rFonts w:asciiTheme="majorBidi" w:hAnsiTheme="majorBidi" w:cstheme="majorBidi"/>
          <w:b/>
          <w:bCs/>
          <w:sz w:val="24"/>
          <w:szCs w:val="24"/>
        </w:rPr>
        <w:t>Magdy</w:t>
      </w:r>
      <w:proofErr w:type="spellEnd"/>
      <w:r w:rsidRPr="000D3880">
        <w:rPr>
          <w:rFonts w:asciiTheme="majorBidi" w:hAnsiTheme="majorBidi" w:cstheme="majorBidi"/>
          <w:b/>
          <w:bCs/>
          <w:sz w:val="24"/>
          <w:szCs w:val="24"/>
        </w:rPr>
        <w:t xml:space="preserve"> El-Mahdy</w:t>
      </w:r>
      <w:r w:rsidRPr="000D3880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0D388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0D3880">
        <w:rPr>
          <w:rFonts w:asciiTheme="majorBidi" w:hAnsiTheme="majorBidi" w:cstheme="majorBidi"/>
          <w:b/>
          <w:bCs/>
          <w:sz w:val="24"/>
          <w:szCs w:val="24"/>
          <w:u w:val="single"/>
        </w:rPr>
        <w:t>Haitham Amer</w:t>
      </w:r>
      <w:r w:rsidRPr="000D3880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="0051109D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*</w:t>
      </w:r>
    </w:p>
    <w:p w:rsidR="000D3880" w:rsidRPr="000D3880" w:rsidRDefault="000D3880" w:rsidP="000D3880">
      <w:pPr>
        <w:pStyle w:val="NormalWeb"/>
        <w:spacing w:before="0" w:beforeAutospacing="0" w:after="0" w:afterAutospacing="0" w:line="360" w:lineRule="auto"/>
        <w:ind w:left="154" w:hanging="154"/>
        <w:jc w:val="center"/>
        <w:rPr>
          <w:rFonts w:asciiTheme="majorBidi" w:hAnsiTheme="majorBidi" w:cstheme="majorBidi"/>
          <w:bCs/>
          <w:sz w:val="22"/>
          <w:szCs w:val="22"/>
          <w:lang w:val="en-US"/>
        </w:rPr>
      </w:pPr>
      <w:r w:rsidRPr="000D3880">
        <w:rPr>
          <w:rFonts w:asciiTheme="majorBidi" w:hAnsiTheme="majorBidi" w:cstheme="majorBidi"/>
          <w:bCs/>
          <w:sz w:val="22"/>
          <w:szCs w:val="22"/>
          <w:vertAlign w:val="superscript"/>
          <w:lang w:val="en-US"/>
        </w:rPr>
        <w:t>1</w:t>
      </w:r>
      <w:r w:rsidRPr="000D3880">
        <w:rPr>
          <w:rFonts w:asciiTheme="majorBidi" w:hAnsiTheme="majorBidi" w:cstheme="majorBidi"/>
          <w:bCs/>
          <w:sz w:val="22"/>
          <w:szCs w:val="22"/>
          <w:lang w:val="en-US"/>
        </w:rPr>
        <w:t>Virology Department, Faculty of Veterinary Medicine, Cair</w:t>
      </w:r>
      <w:r w:rsidR="00280AA5">
        <w:rPr>
          <w:rFonts w:asciiTheme="majorBidi" w:hAnsiTheme="majorBidi" w:cstheme="majorBidi"/>
          <w:bCs/>
          <w:sz w:val="22"/>
          <w:szCs w:val="22"/>
          <w:lang w:val="en-US"/>
        </w:rPr>
        <w:t>o University, Giza 12211, Egypt</w:t>
      </w:r>
    </w:p>
    <w:p w:rsidR="000D3880" w:rsidRDefault="000D3880" w:rsidP="000D3880">
      <w:pPr>
        <w:pStyle w:val="NormalWeb"/>
        <w:spacing w:before="0" w:beforeAutospacing="0" w:after="0" w:afterAutospacing="0" w:line="360" w:lineRule="auto"/>
        <w:ind w:left="154" w:hanging="154"/>
        <w:jc w:val="center"/>
        <w:rPr>
          <w:rFonts w:asciiTheme="majorBidi" w:hAnsiTheme="majorBidi" w:cstheme="majorBidi"/>
          <w:bCs/>
          <w:sz w:val="22"/>
          <w:szCs w:val="22"/>
          <w:lang w:val="en-US"/>
        </w:rPr>
      </w:pPr>
      <w:r w:rsidRPr="000D3880">
        <w:rPr>
          <w:rFonts w:asciiTheme="majorBidi" w:hAnsiTheme="majorBidi" w:cstheme="majorBidi"/>
          <w:bCs/>
          <w:sz w:val="22"/>
          <w:szCs w:val="22"/>
          <w:vertAlign w:val="superscript"/>
          <w:lang w:val="en-US"/>
        </w:rPr>
        <w:t>2</w:t>
      </w:r>
      <w:r w:rsidRPr="000D3880">
        <w:rPr>
          <w:rFonts w:asciiTheme="majorBidi" w:hAnsiTheme="majorBidi" w:cstheme="majorBidi"/>
          <w:bCs/>
          <w:sz w:val="22"/>
          <w:szCs w:val="22"/>
          <w:lang w:val="en-US"/>
        </w:rPr>
        <w:t>Pathology Department, Faculty of Veterinary Medicine, Cair</w:t>
      </w:r>
      <w:r w:rsidR="00280AA5">
        <w:rPr>
          <w:rFonts w:asciiTheme="majorBidi" w:hAnsiTheme="majorBidi" w:cstheme="majorBidi"/>
          <w:bCs/>
          <w:sz w:val="22"/>
          <w:szCs w:val="22"/>
          <w:lang w:val="en-US"/>
        </w:rPr>
        <w:t>o University, Giza 12211, Egypt</w:t>
      </w:r>
    </w:p>
    <w:p w:rsidR="0051109D" w:rsidRPr="000D3880" w:rsidRDefault="0051109D" w:rsidP="000D3880">
      <w:pPr>
        <w:pStyle w:val="NormalWeb"/>
        <w:spacing w:before="0" w:beforeAutospacing="0" w:after="0" w:afterAutospacing="0" w:line="360" w:lineRule="auto"/>
        <w:ind w:left="154" w:hanging="154"/>
        <w:jc w:val="center"/>
        <w:rPr>
          <w:rFonts w:asciiTheme="majorBidi" w:hAnsiTheme="majorBidi" w:cstheme="majorBidi"/>
          <w:bCs/>
          <w:sz w:val="22"/>
          <w:szCs w:val="22"/>
          <w:lang w:val="en-US"/>
        </w:rPr>
      </w:pPr>
      <w:r>
        <w:rPr>
          <w:rFonts w:asciiTheme="majorBidi" w:hAnsiTheme="majorBidi" w:cstheme="majorBidi"/>
          <w:bCs/>
          <w:sz w:val="22"/>
          <w:szCs w:val="22"/>
          <w:lang w:val="en-US"/>
        </w:rPr>
        <w:t>*Presenting Author</w:t>
      </w:r>
    </w:p>
    <w:p w:rsidR="000D3880" w:rsidRPr="000B63BB" w:rsidRDefault="000D3880" w:rsidP="000D3880">
      <w:pPr>
        <w:pStyle w:val="NormalWeb"/>
        <w:spacing w:before="0" w:beforeAutospacing="0" w:after="0" w:afterAutospacing="0" w:line="360" w:lineRule="auto"/>
        <w:ind w:left="154" w:hanging="154"/>
        <w:jc w:val="center"/>
        <w:rPr>
          <w:rFonts w:asciiTheme="majorBidi" w:hAnsiTheme="majorBidi" w:cstheme="majorBidi"/>
          <w:bCs/>
          <w:sz w:val="22"/>
          <w:szCs w:val="22"/>
          <w:lang w:val="en-US"/>
        </w:rPr>
      </w:pPr>
    </w:p>
    <w:p w:rsidR="00703140" w:rsidRDefault="000D3880" w:rsidP="007C6538">
      <w:pPr>
        <w:spacing w:line="480" w:lineRule="auto"/>
        <w:ind w:right="43"/>
        <w:jc w:val="both"/>
        <w:rPr>
          <w:rFonts w:asciiTheme="majorBidi" w:hAnsiTheme="majorBidi" w:cstheme="majorBidi"/>
          <w:sz w:val="26"/>
          <w:szCs w:val="26"/>
        </w:rPr>
      </w:pPr>
      <w:r w:rsidRPr="00FD4BB2">
        <w:rPr>
          <w:rFonts w:asciiTheme="majorBidi" w:hAnsiTheme="majorBidi" w:cstheme="majorBidi"/>
          <w:sz w:val="26"/>
          <w:szCs w:val="26"/>
        </w:rPr>
        <w:t xml:space="preserve">Marek’s disease (MD) is </w:t>
      </w:r>
      <w:r>
        <w:rPr>
          <w:rFonts w:asciiTheme="majorBidi" w:hAnsiTheme="majorBidi" w:cstheme="majorBidi"/>
          <w:sz w:val="26"/>
          <w:szCs w:val="26"/>
        </w:rPr>
        <w:t xml:space="preserve">an oncogenic viral disease that causes severe economic losses in </w:t>
      </w:r>
      <w:r w:rsidRPr="00FD4BB2">
        <w:rPr>
          <w:rFonts w:asciiTheme="majorBidi" w:hAnsiTheme="majorBidi" w:cstheme="majorBidi"/>
          <w:sz w:val="26"/>
          <w:szCs w:val="26"/>
        </w:rPr>
        <w:t>chickens</w:t>
      </w:r>
      <w:r w:rsidR="00DF3F64">
        <w:rPr>
          <w:rFonts w:asciiTheme="majorBidi" w:hAnsiTheme="majorBidi" w:cstheme="majorBidi"/>
          <w:sz w:val="26"/>
          <w:szCs w:val="26"/>
        </w:rPr>
        <w:t xml:space="preserve"> and rarely in</w:t>
      </w:r>
      <w:r w:rsidRPr="00FD4BB2">
        <w:rPr>
          <w:rFonts w:asciiTheme="majorBidi" w:hAnsiTheme="majorBidi" w:cstheme="majorBidi"/>
          <w:sz w:val="26"/>
          <w:szCs w:val="26"/>
        </w:rPr>
        <w:t xml:space="preserve"> turkeys.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="008A3F7A">
        <w:rPr>
          <w:rFonts w:asciiTheme="majorBidi" w:hAnsiTheme="majorBidi" w:cstheme="majorBidi"/>
          <w:sz w:val="26"/>
          <w:szCs w:val="26"/>
        </w:rPr>
        <w:t xml:space="preserve">MD is caused by </w:t>
      </w:r>
      <w:proofErr w:type="spellStart"/>
      <w:r w:rsidR="008A3F7A">
        <w:rPr>
          <w:rFonts w:asciiTheme="majorBidi" w:hAnsiTheme="majorBidi" w:cstheme="majorBidi"/>
          <w:sz w:val="26"/>
          <w:szCs w:val="26"/>
        </w:rPr>
        <w:t>Gallid</w:t>
      </w:r>
      <w:proofErr w:type="spellEnd"/>
      <w:r w:rsidR="008A3F7A">
        <w:rPr>
          <w:rFonts w:asciiTheme="majorBidi" w:hAnsiTheme="majorBidi" w:cstheme="majorBidi"/>
          <w:sz w:val="26"/>
          <w:szCs w:val="26"/>
        </w:rPr>
        <w:t xml:space="preserve"> herpesvirus 2 (GaHV-2), which is a member of genus </w:t>
      </w:r>
      <w:proofErr w:type="spellStart"/>
      <w:r w:rsidR="008A3F7A" w:rsidRPr="008A3F7A">
        <w:rPr>
          <w:rFonts w:asciiTheme="majorBidi" w:hAnsiTheme="majorBidi" w:cstheme="majorBidi"/>
          <w:i/>
          <w:iCs/>
          <w:sz w:val="26"/>
          <w:szCs w:val="26"/>
        </w:rPr>
        <w:t>Mardivirus</w:t>
      </w:r>
      <w:proofErr w:type="spellEnd"/>
      <w:r w:rsidR="008A3F7A">
        <w:rPr>
          <w:rFonts w:asciiTheme="majorBidi" w:hAnsiTheme="majorBidi" w:cstheme="majorBidi"/>
          <w:sz w:val="26"/>
          <w:szCs w:val="26"/>
        </w:rPr>
        <w:t xml:space="preserve">, family </w:t>
      </w:r>
      <w:proofErr w:type="spellStart"/>
      <w:r w:rsidR="008A3F7A" w:rsidRPr="008A3F7A">
        <w:rPr>
          <w:rFonts w:asciiTheme="majorBidi" w:hAnsiTheme="majorBidi" w:cstheme="majorBidi"/>
          <w:i/>
          <w:iCs/>
          <w:sz w:val="26"/>
          <w:szCs w:val="26"/>
        </w:rPr>
        <w:t>Herpesviridae</w:t>
      </w:r>
      <w:proofErr w:type="spellEnd"/>
      <w:r w:rsidR="008A3F7A">
        <w:rPr>
          <w:rFonts w:asciiTheme="majorBidi" w:hAnsiTheme="majorBidi" w:cstheme="majorBidi"/>
          <w:sz w:val="26"/>
          <w:szCs w:val="26"/>
        </w:rPr>
        <w:t>.</w:t>
      </w:r>
      <w:r w:rsidR="00B47161">
        <w:rPr>
          <w:rFonts w:asciiTheme="majorBidi" w:hAnsiTheme="majorBidi" w:cstheme="majorBidi"/>
          <w:sz w:val="26"/>
          <w:szCs w:val="26"/>
        </w:rPr>
        <w:t xml:space="preserve"> Among 200 genes identified in the genome of GaHV-2, </w:t>
      </w:r>
      <w:proofErr w:type="spellStart"/>
      <w:r w:rsidR="00B47161">
        <w:rPr>
          <w:rFonts w:asciiTheme="majorBidi" w:hAnsiTheme="majorBidi" w:cstheme="majorBidi"/>
          <w:sz w:val="26"/>
          <w:szCs w:val="26"/>
        </w:rPr>
        <w:t>meq</w:t>
      </w:r>
      <w:proofErr w:type="spellEnd"/>
      <w:r w:rsidR="00B47161">
        <w:rPr>
          <w:rFonts w:asciiTheme="majorBidi" w:hAnsiTheme="majorBidi" w:cstheme="majorBidi"/>
          <w:sz w:val="26"/>
          <w:szCs w:val="26"/>
        </w:rPr>
        <w:t xml:space="preserve"> gene was intensively studied for its role on viral virulence, </w:t>
      </w:r>
      <w:proofErr w:type="spellStart"/>
      <w:r w:rsidR="00B47161">
        <w:rPr>
          <w:rFonts w:asciiTheme="majorBidi" w:hAnsiTheme="majorBidi" w:cstheme="majorBidi"/>
          <w:sz w:val="26"/>
          <w:szCs w:val="26"/>
        </w:rPr>
        <w:t>oncogenicity</w:t>
      </w:r>
      <w:proofErr w:type="spellEnd"/>
      <w:r w:rsidR="00B47161">
        <w:rPr>
          <w:rFonts w:asciiTheme="majorBidi" w:hAnsiTheme="majorBidi" w:cstheme="majorBidi"/>
          <w:sz w:val="26"/>
          <w:szCs w:val="26"/>
        </w:rPr>
        <w:t xml:space="preserve">, and diversity. </w:t>
      </w:r>
      <w:proofErr w:type="spellStart"/>
      <w:r w:rsidR="00B47161">
        <w:rPr>
          <w:rFonts w:asciiTheme="majorBidi" w:hAnsiTheme="majorBidi" w:cstheme="majorBidi"/>
          <w:sz w:val="26"/>
          <w:szCs w:val="26"/>
        </w:rPr>
        <w:t>Meq</w:t>
      </w:r>
      <w:proofErr w:type="spellEnd"/>
      <w:r w:rsidR="00B47161">
        <w:rPr>
          <w:rFonts w:asciiTheme="majorBidi" w:hAnsiTheme="majorBidi" w:cstheme="majorBidi"/>
          <w:sz w:val="26"/>
          <w:szCs w:val="26"/>
        </w:rPr>
        <w:t xml:space="preserve"> gene sequences were frequently exploited in phylogenetic analysis of GaHV-2 strains identified in many countries worldwide. However, no integrated system was proposed for phylogenetic classification of GaHV-2 strains worldwide. In this study, </w:t>
      </w:r>
      <w:r w:rsidR="00703140">
        <w:rPr>
          <w:rFonts w:asciiTheme="majorBidi" w:hAnsiTheme="majorBidi" w:cstheme="majorBidi"/>
          <w:sz w:val="26"/>
          <w:szCs w:val="26"/>
        </w:rPr>
        <w:t>turkeys from two commercial Egyptian fa</w:t>
      </w:r>
      <w:r>
        <w:rPr>
          <w:rFonts w:asciiTheme="majorBidi" w:hAnsiTheme="majorBidi" w:cstheme="majorBidi"/>
          <w:sz w:val="26"/>
          <w:szCs w:val="26"/>
        </w:rPr>
        <w:t>rms</w:t>
      </w:r>
      <w:r w:rsidR="008A3F7A">
        <w:rPr>
          <w:rFonts w:asciiTheme="majorBidi" w:hAnsiTheme="majorBidi" w:cstheme="majorBidi"/>
          <w:sz w:val="26"/>
          <w:szCs w:val="26"/>
        </w:rPr>
        <w:t xml:space="preserve"> were presented with signs of dullness, dehydration and emaciation. </w:t>
      </w:r>
      <w:r w:rsidR="00703140">
        <w:rPr>
          <w:rFonts w:asciiTheme="majorBidi" w:hAnsiTheme="majorBidi" w:cstheme="majorBidi"/>
          <w:sz w:val="26"/>
          <w:szCs w:val="26"/>
        </w:rPr>
        <w:t xml:space="preserve">Gross examination </w:t>
      </w:r>
      <w:r w:rsidR="00703140">
        <w:rPr>
          <w:rFonts w:asciiTheme="majorBidi" w:hAnsiTheme="majorBidi" w:cstheme="majorBidi"/>
          <w:sz w:val="26"/>
          <w:szCs w:val="26"/>
        </w:rPr>
        <w:t>has</w:t>
      </w:r>
      <w:r w:rsidR="00703140">
        <w:rPr>
          <w:rFonts w:asciiTheme="majorBidi" w:hAnsiTheme="majorBidi" w:cstheme="majorBidi"/>
          <w:sz w:val="26"/>
          <w:szCs w:val="26"/>
        </w:rPr>
        <w:t xml:space="preserve"> revealed grayish white soft masses in </w:t>
      </w:r>
      <w:r w:rsidR="00703140">
        <w:rPr>
          <w:rFonts w:asciiTheme="majorBidi" w:hAnsiTheme="majorBidi" w:cstheme="majorBidi"/>
          <w:sz w:val="26"/>
          <w:szCs w:val="26"/>
        </w:rPr>
        <w:t xml:space="preserve">the </w:t>
      </w:r>
      <w:r w:rsidR="00703140">
        <w:rPr>
          <w:rFonts w:asciiTheme="majorBidi" w:hAnsiTheme="majorBidi" w:cstheme="majorBidi"/>
          <w:sz w:val="26"/>
          <w:szCs w:val="26"/>
        </w:rPr>
        <w:t xml:space="preserve">majority of </w:t>
      </w:r>
      <w:r w:rsidR="0062155E">
        <w:rPr>
          <w:rFonts w:asciiTheme="majorBidi" w:hAnsiTheme="majorBidi" w:cstheme="majorBidi"/>
          <w:sz w:val="26"/>
          <w:szCs w:val="26"/>
        </w:rPr>
        <w:t>internal</w:t>
      </w:r>
      <w:r w:rsidR="00703140">
        <w:rPr>
          <w:rFonts w:asciiTheme="majorBidi" w:hAnsiTheme="majorBidi" w:cstheme="majorBidi"/>
          <w:sz w:val="26"/>
          <w:szCs w:val="26"/>
        </w:rPr>
        <w:t xml:space="preserve"> organs</w:t>
      </w:r>
      <w:r w:rsidR="00703140">
        <w:rPr>
          <w:rFonts w:asciiTheme="majorBidi" w:hAnsiTheme="majorBidi" w:cstheme="majorBidi"/>
          <w:sz w:val="26"/>
          <w:szCs w:val="26"/>
        </w:rPr>
        <w:t xml:space="preserve">, and diffuse enlargement in sciatic nerve. </w:t>
      </w:r>
      <w:r w:rsidR="008B13BB">
        <w:rPr>
          <w:rFonts w:asciiTheme="majorBidi" w:hAnsiTheme="majorBidi" w:cstheme="majorBidi"/>
          <w:sz w:val="26"/>
          <w:szCs w:val="26"/>
        </w:rPr>
        <w:t>D</w:t>
      </w:r>
      <w:r w:rsidR="0062155E">
        <w:rPr>
          <w:rFonts w:asciiTheme="majorBidi" w:hAnsiTheme="majorBidi" w:cstheme="majorBidi"/>
          <w:sz w:val="26"/>
          <w:szCs w:val="26"/>
        </w:rPr>
        <w:t xml:space="preserve">iffuse </w:t>
      </w:r>
      <w:r w:rsidR="008B13BB">
        <w:rPr>
          <w:rFonts w:asciiTheme="majorBidi" w:hAnsiTheme="majorBidi" w:cstheme="majorBidi"/>
          <w:sz w:val="26"/>
          <w:szCs w:val="26"/>
        </w:rPr>
        <w:t>infiltration</w:t>
      </w:r>
      <w:r w:rsidR="0062155E" w:rsidRPr="009C5591">
        <w:rPr>
          <w:rFonts w:asciiTheme="majorBidi" w:hAnsiTheme="majorBidi" w:cstheme="majorBidi"/>
          <w:sz w:val="26"/>
          <w:szCs w:val="26"/>
        </w:rPr>
        <w:t xml:space="preserve"> of pleomorphic neoplastic cells with hyperchromatic and mitotic activities </w:t>
      </w:r>
      <w:r w:rsidR="008B13BB">
        <w:rPr>
          <w:rFonts w:asciiTheme="majorBidi" w:hAnsiTheme="majorBidi" w:cstheme="majorBidi"/>
          <w:sz w:val="26"/>
          <w:szCs w:val="26"/>
        </w:rPr>
        <w:t xml:space="preserve">was </w:t>
      </w:r>
      <w:r w:rsidR="0062155E">
        <w:rPr>
          <w:rFonts w:asciiTheme="majorBidi" w:hAnsiTheme="majorBidi" w:cstheme="majorBidi"/>
          <w:sz w:val="26"/>
          <w:szCs w:val="26"/>
        </w:rPr>
        <w:t>observed</w:t>
      </w:r>
      <w:r w:rsidR="00586265">
        <w:rPr>
          <w:rFonts w:asciiTheme="majorBidi" w:hAnsiTheme="majorBidi" w:cstheme="majorBidi"/>
          <w:sz w:val="26"/>
          <w:szCs w:val="26"/>
        </w:rPr>
        <w:t xml:space="preserve"> by histopathologi</w:t>
      </w:r>
      <w:r w:rsidR="008B13BB">
        <w:rPr>
          <w:rFonts w:asciiTheme="majorBidi" w:hAnsiTheme="majorBidi" w:cstheme="majorBidi"/>
          <w:sz w:val="26"/>
          <w:szCs w:val="26"/>
        </w:rPr>
        <w:t>cal examination of in</w:t>
      </w:r>
      <w:r w:rsidR="0062155E">
        <w:rPr>
          <w:rFonts w:asciiTheme="majorBidi" w:hAnsiTheme="majorBidi" w:cstheme="majorBidi"/>
          <w:sz w:val="26"/>
          <w:szCs w:val="26"/>
        </w:rPr>
        <w:t>ternal</w:t>
      </w:r>
      <w:r w:rsidR="0062155E" w:rsidRPr="009C5591">
        <w:rPr>
          <w:rFonts w:asciiTheme="majorBidi" w:hAnsiTheme="majorBidi" w:cstheme="majorBidi"/>
          <w:sz w:val="26"/>
          <w:szCs w:val="26"/>
        </w:rPr>
        <w:t xml:space="preserve"> organs and sciatic nerve</w:t>
      </w:r>
      <w:r w:rsidR="0062155E">
        <w:rPr>
          <w:rFonts w:asciiTheme="majorBidi" w:hAnsiTheme="majorBidi" w:cstheme="majorBidi"/>
          <w:sz w:val="26"/>
          <w:szCs w:val="26"/>
        </w:rPr>
        <w:t xml:space="preserve"> fibers.</w:t>
      </w:r>
      <w:r w:rsidR="00586265">
        <w:rPr>
          <w:rFonts w:asciiTheme="majorBidi" w:hAnsiTheme="majorBidi" w:cstheme="majorBidi"/>
          <w:sz w:val="26"/>
          <w:szCs w:val="26"/>
        </w:rPr>
        <w:t xml:space="preserve"> </w:t>
      </w:r>
      <w:r w:rsidR="00586265">
        <w:rPr>
          <w:rFonts w:asciiTheme="majorBidi" w:hAnsiTheme="majorBidi" w:cstheme="majorBidi"/>
          <w:sz w:val="26"/>
          <w:szCs w:val="26"/>
        </w:rPr>
        <w:t>All</w:t>
      </w:r>
      <w:r w:rsidR="00586265" w:rsidRPr="00722281">
        <w:rPr>
          <w:rFonts w:asciiTheme="majorBidi" w:hAnsiTheme="majorBidi" w:cstheme="majorBidi"/>
          <w:sz w:val="26"/>
          <w:szCs w:val="26"/>
        </w:rPr>
        <w:t xml:space="preserve"> </w:t>
      </w:r>
      <w:r w:rsidR="00586265">
        <w:rPr>
          <w:rFonts w:asciiTheme="majorBidi" w:hAnsiTheme="majorBidi" w:cstheme="majorBidi"/>
          <w:sz w:val="26"/>
          <w:szCs w:val="26"/>
        </w:rPr>
        <w:t>l</w:t>
      </w:r>
      <w:r w:rsidR="00586265" w:rsidRPr="00722281">
        <w:rPr>
          <w:rFonts w:asciiTheme="majorBidi" w:hAnsiTheme="majorBidi" w:cstheme="majorBidi"/>
          <w:sz w:val="26"/>
          <w:szCs w:val="26"/>
        </w:rPr>
        <w:t xml:space="preserve">ymphoma cells </w:t>
      </w:r>
      <w:r w:rsidR="00586265">
        <w:rPr>
          <w:rFonts w:asciiTheme="majorBidi" w:hAnsiTheme="majorBidi" w:cstheme="majorBidi"/>
          <w:sz w:val="26"/>
          <w:szCs w:val="26"/>
        </w:rPr>
        <w:t>were characterized as</w:t>
      </w:r>
      <w:r w:rsidR="00586265" w:rsidRPr="00722281">
        <w:rPr>
          <w:rFonts w:asciiTheme="majorBidi" w:hAnsiTheme="majorBidi" w:cstheme="majorBidi"/>
          <w:sz w:val="26"/>
          <w:szCs w:val="26"/>
        </w:rPr>
        <w:t xml:space="preserve"> </w:t>
      </w:r>
      <w:r w:rsidR="00586265">
        <w:rPr>
          <w:rFonts w:asciiTheme="majorBidi" w:hAnsiTheme="majorBidi" w:cstheme="majorBidi"/>
          <w:sz w:val="26"/>
          <w:szCs w:val="26"/>
        </w:rPr>
        <w:t xml:space="preserve">T- lymphocytes of </w:t>
      </w:r>
      <w:r w:rsidR="00586265" w:rsidRPr="00722281">
        <w:rPr>
          <w:rFonts w:asciiTheme="majorBidi" w:hAnsiTheme="majorBidi" w:cstheme="majorBidi"/>
          <w:sz w:val="26"/>
          <w:szCs w:val="26"/>
        </w:rPr>
        <w:t xml:space="preserve">CD3+ phenotype </w:t>
      </w:r>
      <w:r w:rsidR="00925CB3">
        <w:rPr>
          <w:rFonts w:asciiTheme="majorBidi" w:hAnsiTheme="majorBidi" w:cstheme="majorBidi"/>
          <w:sz w:val="26"/>
          <w:szCs w:val="26"/>
        </w:rPr>
        <w:t>by</w:t>
      </w:r>
      <w:r w:rsidR="00586265" w:rsidRPr="00722281">
        <w:rPr>
          <w:rFonts w:asciiTheme="majorBidi" w:hAnsiTheme="majorBidi" w:cstheme="majorBidi"/>
          <w:sz w:val="26"/>
          <w:szCs w:val="26"/>
        </w:rPr>
        <w:t xml:space="preserve"> immunohistochemistry</w:t>
      </w:r>
      <w:r w:rsidR="00586265">
        <w:rPr>
          <w:rFonts w:asciiTheme="majorBidi" w:hAnsiTheme="majorBidi" w:cstheme="majorBidi"/>
          <w:sz w:val="26"/>
          <w:szCs w:val="26"/>
        </w:rPr>
        <w:t>.</w:t>
      </w:r>
      <w:r w:rsidR="00E223F5">
        <w:rPr>
          <w:rFonts w:asciiTheme="majorBidi" w:hAnsiTheme="majorBidi" w:cstheme="majorBidi"/>
          <w:sz w:val="26"/>
          <w:szCs w:val="26"/>
        </w:rPr>
        <w:t xml:space="preserve"> PCR was utilized to identify the viral cause of the suspected </w:t>
      </w:r>
      <w:r w:rsidR="00E223F5" w:rsidRPr="00AA54CA">
        <w:rPr>
          <w:rFonts w:asciiTheme="majorBidi" w:hAnsiTheme="majorBidi" w:cstheme="majorBidi"/>
          <w:sz w:val="26"/>
          <w:szCs w:val="26"/>
        </w:rPr>
        <w:t>lymphoproliferative disease</w:t>
      </w:r>
      <w:r w:rsidR="00E223F5">
        <w:rPr>
          <w:rFonts w:asciiTheme="majorBidi" w:hAnsiTheme="majorBidi" w:cstheme="majorBidi"/>
          <w:sz w:val="26"/>
          <w:szCs w:val="26"/>
        </w:rPr>
        <w:t xml:space="preserve">. GaHV-2 was identified in all samples using two PCR systems targeting partial sequence of ICP4 gene and the complete </w:t>
      </w:r>
      <w:proofErr w:type="spellStart"/>
      <w:r w:rsidR="00E223F5">
        <w:rPr>
          <w:rFonts w:asciiTheme="majorBidi" w:hAnsiTheme="majorBidi" w:cstheme="majorBidi"/>
          <w:sz w:val="26"/>
          <w:szCs w:val="26"/>
        </w:rPr>
        <w:lastRenderedPageBreak/>
        <w:t>meq</w:t>
      </w:r>
      <w:proofErr w:type="spellEnd"/>
      <w:r w:rsidR="00E223F5">
        <w:rPr>
          <w:rFonts w:asciiTheme="majorBidi" w:hAnsiTheme="majorBidi" w:cstheme="majorBidi"/>
          <w:sz w:val="26"/>
          <w:szCs w:val="26"/>
        </w:rPr>
        <w:t xml:space="preserve"> gene sequence. All samples were negative for avian leucosis and </w:t>
      </w:r>
      <w:proofErr w:type="spellStart"/>
      <w:r w:rsidR="00E223F5">
        <w:rPr>
          <w:rFonts w:asciiTheme="majorBidi" w:hAnsiTheme="majorBidi" w:cstheme="majorBidi"/>
          <w:sz w:val="26"/>
          <w:szCs w:val="26"/>
        </w:rPr>
        <w:t>reticulendotheliosis</w:t>
      </w:r>
      <w:proofErr w:type="spellEnd"/>
      <w:r w:rsidR="004E753C">
        <w:rPr>
          <w:rFonts w:asciiTheme="majorBidi" w:hAnsiTheme="majorBidi" w:cstheme="majorBidi"/>
          <w:sz w:val="26"/>
          <w:szCs w:val="26"/>
        </w:rPr>
        <w:t xml:space="preserve"> viruses</w:t>
      </w:r>
      <w:r w:rsidR="00E223F5">
        <w:rPr>
          <w:rFonts w:asciiTheme="majorBidi" w:hAnsiTheme="majorBidi" w:cstheme="majorBidi"/>
          <w:sz w:val="26"/>
          <w:szCs w:val="26"/>
        </w:rPr>
        <w:t>.</w:t>
      </w:r>
      <w:r w:rsidR="00AC4B01">
        <w:rPr>
          <w:rFonts w:asciiTheme="majorBidi" w:hAnsiTheme="majorBidi" w:cstheme="majorBidi"/>
          <w:sz w:val="26"/>
          <w:szCs w:val="26"/>
        </w:rPr>
        <w:t xml:space="preserve"> Sequence analysis of </w:t>
      </w:r>
      <w:proofErr w:type="spellStart"/>
      <w:r w:rsidR="00AC4B01">
        <w:rPr>
          <w:rFonts w:asciiTheme="majorBidi" w:hAnsiTheme="majorBidi" w:cstheme="majorBidi"/>
          <w:sz w:val="26"/>
          <w:szCs w:val="26"/>
        </w:rPr>
        <w:t>meq</w:t>
      </w:r>
      <w:proofErr w:type="spellEnd"/>
      <w:r w:rsidR="00AC4B01">
        <w:rPr>
          <w:rFonts w:asciiTheme="majorBidi" w:hAnsiTheme="majorBidi" w:cstheme="majorBidi"/>
          <w:sz w:val="26"/>
          <w:szCs w:val="26"/>
        </w:rPr>
        <w:t xml:space="preserve"> gene has classified turkey strains as relevant to the Egyptian strains identified in chicken in 2012. </w:t>
      </w:r>
      <w:r w:rsidR="00AC4B01" w:rsidRPr="009E5253">
        <w:rPr>
          <w:rFonts w:asciiTheme="majorBidi" w:hAnsiTheme="majorBidi" w:cstheme="majorBidi"/>
          <w:sz w:val="26"/>
          <w:szCs w:val="26"/>
        </w:rPr>
        <w:t xml:space="preserve">All Egyptian strains </w:t>
      </w:r>
      <w:r w:rsidR="00AC4B01">
        <w:rPr>
          <w:rFonts w:asciiTheme="majorBidi" w:hAnsiTheme="majorBidi" w:cstheme="majorBidi"/>
          <w:sz w:val="26"/>
          <w:szCs w:val="26"/>
        </w:rPr>
        <w:t>showed</w:t>
      </w:r>
      <w:r w:rsidR="00AC4B01" w:rsidRPr="009E5253">
        <w:rPr>
          <w:rFonts w:asciiTheme="majorBidi" w:hAnsiTheme="majorBidi" w:cstheme="majorBidi"/>
          <w:sz w:val="26"/>
          <w:szCs w:val="26"/>
        </w:rPr>
        <w:t xml:space="preserve"> unique amino acid substitutions</w:t>
      </w:r>
      <w:r w:rsidR="00AC4B01">
        <w:rPr>
          <w:rFonts w:asciiTheme="majorBidi" w:hAnsiTheme="majorBidi" w:cstheme="majorBidi"/>
          <w:sz w:val="26"/>
          <w:szCs w:val="26"/>
        </w:rPr>
        <w:t>;</w:t>
      </w:r>
      <w:r w:rsidR="00AC4B01">
        <w:rPr>
          <w:rFonts w:asciiTheme="majorBidi" w:hAnsiTheme="majorBidi" w:cstheme="majorBidi"/>
          <w:sz w:val="26"/>
          <w:szCs w:val="26"/>
        </w:rPr>
        <w:t xml:space="preserve"> A88T, T139A, E263D</w:t>
      </w:r>
      <w:r w:rsidR="007C6538">
        <w:rPr>
          <w:rFonts w:asciiTheme="majorBidi" w:hAnsiTheme="majorBidi" w:cstheme="majorBidi"/>
          <w:sz w:val="26"/>
          <w:szCs w:val="26"/>
        </w:rPr>
        <w:t>, whereas</w:t>
      </w:r>
      <w:r w:rsidR="00AC4B01" w:rsidRPr="009E5253">
        <w:rPr>
          <w:rFonts w:asciiTheme="majorBidi" w:hAnsiTheme="majorBidi" w:cstheme="majorBidi"/>
          <w:sz w:val="26"/>
          <w:szCs w:val="26"/>
        </w:rPr>
        <w:t xml:space="preserve"> turkey strain</w:t>
      </w:r>
      <w:r w:rsidR="00AC4B01">
        <w:rPr>
          <w:rFonts w:asciiTheme="majorBidi" w:hAnsiTheme="majorBidi" w:cstheme="majorBidi"/>
          <w:sz w:val="26"/>
          <w:szCs w:val="26"/>
        </w:rPr>
        <w:t xml:space="preserve">s </w:t>
      </w:r>
      <w:r w:rsidR="007C6538">
        <w:rPr>
          <w:rFonts w:asciiTheme="majorBidi" w:hAnsiTheme="majorBidi" w:cstheme="majorBidi"/>
          <w:sz w:val="26"/>
          <w:szCs w:val="26"/>
        </w:rPr>
        <w:t xml:space="preserve">also displayed an additional </w:t>
      </w:r>
      <w:r w:rsidR="00AC4B01">
        <w:rPr>
          <w:rFonts w:asciiTheme="majorBidi" w:hAnsiTheme="majorBidi" w:cstheme="majorBidi"/>
          <w:sz w:val="26"/>
          <w:szCs w:val="26"/>
        </w:rPr>
        <w:t xml:space="preserve">unique </w:t>
      </w:r>
      <w:r w:rsidR="007C6538">
        <w:rPr>
          <w:rFonts w:asciiTheme="majorBidi" w:hAnsiTheme="majorBidi" w:cstheme="majorBidi"/>
          <w:sz w:val="26"/>
          <w:szCs w:val="26"/>
        </w:rPr>
        <w:t xml:space="preserve">site </w:t>
      </w:r>
      <w:r w:rsidR="00AC4B01">
        <w:rPr>
          <w:rFonts w:asciiTheme="majorBidi" w:hAnsiTheme="majorBidi" w:cstheme="majorBidi"/>
          <w:sz w:val="26"/>
          <w:szCs w:val="26"/>
        </w:rPr>
        <w:t>E</w:t>
      </w:r>
      <w:r w:rsidR="00AC4B01">
        <w:rPr>
          <w:rFonts w:asciiTheme="majorBidi" w:hAnsiTheme="majorBidi" w:cstheme="majorBidi"/>
          <w:sz w:val="26"/>
          <w:szCs w:val="26"/>
        </w:rPr>
        <w:t>54K</w:t>
      </w:r>
      <w:r w:rsidR="007C6538">
        <w:rPr>
          <w:rFonts w:asciiTheme="majorBidi" w:hAnsiTheme="majorBidi" w:cstheme="majorBidi"/>
          <w:sz w:val="26"/>
          <w:szCs w:val="26"/>
        </w:rPr>
        <w:t xml:space="preserve">. A universal system for phylogenetic analysis of GaHV-2 strains was proposed using the entire sequence of </w:t>
      </w:r>
      <w:proofErr w:type="spellStart"/>
      <w:r w:rsidR="007C6538">
        <w:rPr>
          <w:rFonts w:asciiTheme="majorBidi" w:hAnsiTheme="majorBidi" w:cstheme="majorBidi"/>
          <w:sz w:val="26"/>
          <w:szCs w:val="26"/>
        </w:rPr>
        <w:t>meq</w:t>
      </w:r>
      <w:proofErr w:type="spellEnd"/>
      <w:r w:rsidR="007C6538">
        <w:rPr>
          <w:rFonts w:asciiTheme="majorBidi" w:hAnsiTheme="majorBidi" w:cstheme="majorBidi"/>
          <w:sz w:val="26"/>
          <w:szCs w:val="26"/>
        </w:rPr>
        <w:t xml:space="preserve"> gene. This system indicated separation of GaHV-2 strains into 4 clusters.</w:t>
      </w:r>
      <w:r w:rsidR="007C6538" w:rsidRPr="009E5253">
        <w:rPr>
          <w:rFonts w:asciiTheme="majorBidi" w:hAnsiTheme="majorBidi" w:cstheme="majorBidi"/>
          <w:sz w:val="26"/>
          <w:szCs w:val="26"/>
        </w:rPr>
        <w:t xml:space="preserve"> The vaccine strains</w:t>
      </w:r>
      <w:r w:rsidR="007C6538">
        <w:rPr>
          <w:rFonts w:asciiTheme="majorBidi" w:hAnsiTheme="majorBidi" w:cstheme="majorBidi"/>
          <w:sz w:val="26"/>
          <w:szCs w:val="26"/>
        </w:rPr>
        <w:t xml:space="preserve"> </w:t>
      </w:r>
      <w:r w:rsidR="007C6538" w:rsidRPr="009E5253">
        <w:rPr>
          <w:rFonts w:asciiTheme="majorBidi" w:hAnsiTheme="majorBidi" w:cstheme="majorBidi"/>
          <w:sz w:val="26"/>
          <w:szCs w:val="26"/>
        </w:rPr>
        <w:t>were all grouped in cluster 2</w:t>
      </w:r>
      <w:r w:rsidR="007C6538">
        <w:rPr>
          <w:rFonts w:asciiTheme="majorBidi" w:hAnsiTheme="majorBidi" w:cstheme="majorBidi"/>
          <w:sz w:val="26"/>
          <w:szCs w:val="26"/>
        </w:rPr>
        <w:t>. T</w:t>
      </w:r>
      <w:r w:rsidR="007C6538" w:rsidRPr="009E5253">
        <w:rPr>
          <w:rFonts w:asciiTheme="majorBidi" w:hAnsiTheme="majorBidi" w:cstheme="majorBidi"/>
          <w:sz w:val="26"/>
          <w:szCs w:val="26"/>
        </w:rPr>
        <w:t xml:space="preserve">he Indian and Japanese strains identified in 2010 and 2011 were members of cluster </w:t>
      </w:r>
      <w:r w:rsidR="007C6538" w:rsidRPr="009A34F4">
        <w:rPr>
          <w:rFonts w:asciiTheme="majorBidi" w:hAnsiTheme="majorBidi" w:cstheme="majorBidi"/>
          <w:sz w:val="26"/>
          <w:szCs w:val="26"/>
        </w:rPr>
        <w:t xml:space="preserve">3, </w:t>
      </w:r>
      <w:r w:rsidR="007C6538">
        <w:rPr>
          <w:rFonts w:asciiTheme="majorBidi" w:hAnsiTheme="majorBidi" w:cstheme="majorBidi"/>
          <w:sz w:val="26"/>
          <w:szCs w:val="26"/>
        </w:rPr>
        <w:t>while</w:t>
      </w:r>
      <w:r w:rsidR="007C6538" w:rsidRPr="009A34F4">
        <w:rPr>
          <w:rFonts w:asciiTheme="majorBidi" w:hAnsiTheme="majorBidi" w:cstheme="majorBidi"/>
          <w:sz w:val="26"/>
          <w:szCs w:val="26"/>
        </w:rPr>
        <w:t xml:space="preserve"> most of the classical American strains belonged to cluster 4. Cluster 1 was further divided to three sub-clusters (1.1-1.3).</w:t>
      </w:r>
      <w:r w:rsidR="007C6538">
        <w:rPr>
          <w:rFonts w:asciiTheme="majorBidi" w:hAnsiTheme="majorBidi" w:cstheme="majorBidi"/>
          <w:sz w:val="26"/>
          <w:szCs w:val="26"/>
        </w:rPr>
        <w:t xml:space="preserve"> </w:t>
      </w:r>
      <w:r w:rsidR="007C6538">
        <w:rPr>
          <w:rFonts w:asciiTheme="majorBidi" w:hAnsiTheme="majorBidi" w:cstheme="majorBidi"/>
          <w:sz w:val="26"/>
          <w:szCs w:val="26"/>
          <w:lang w:bidi="ar-EG"/>
        </w:rPr>
        <w:t xml:space="preserve">In conclusion, </w:t>
      </w:r>
      <w:r w:rsidR="00703140">
        <w:rPr>
          <w:rFonts w:asciiTheme="majorBidi" w:hAnsiTheme="majorBidi" w:cstheme="majorBidi"/>
          <w:sz w:val="26"/>
          <w:szCs w:val="26"/>
        </w:rPr>
        <w:t xml:space="preserve">GaHV-2 was identified in turkeys for the first time in Egypt and Africa. </w:t>
      </w:r>
      <w:r w:rsidR="007C6538">
        <w:rPr>
          <w:rFonts w:asciiTheme="majorBidi" w:hAnsiTheme="majorBidi" w:cstheme="majorBidi"/>
          <w:sz w:val="26"/>
          <w:szCs w:val="26"/>
        </w:rPr>
        <w:t>A</w:t>
      </w:r>
      <w:r w:rsidR="00703140">
        <w:rPr>
          <w:rFonts w:asciiTheme="majorBidi" w:hAnsiTheme="majorBidi" w:cstheme="majorBidi"/>
          <w:sz w:val="26"/>
          <w:szCs w:val="26"/>
        </w:rPr>
        <w:t xml:space="preserve"> universal system for phylogenetic classification of GaHV-2</w:t>
      </w:r>
      <w:r w:rsidR="007C6538">
        <w:rPr>
          <w:rFonts w:asciiTheme="majorBidi" w:hAnsiTheme="majorBidi" w:cstheme="majorBidi"/>
          <w:sz w:val="26"/>
          <w:szCs w:val="26"/>
        </w:rPr>
        <w:t xml:space="preserve"> was established using GaHV-2 strains selected on temporal, spatial, pathological, and taxonomic bases</w:t>
      </w:r>
      <w:r w:rsidR="00703140">
        <w:rPr>
          <w:rFonts w:asciiTheme="majorBidi" w:hAnsiTheme="majorBidi" w:cstheme="majorBidi"/>
          <w:sz w:val="26"/>
          <w:szCs w:val="26"/>
        </w:rPr>
        <w:t>.</w:t>
      </w:r>
    </w:p>
    <w:p w:rsidR="00E2218B" w:rsidRPr="00E2218B" w:rsidRDefault="00E2218B" w:rsidP="007C6538">
      <w:pPr>
        <w:spacing w:line="480" w:lineRule="auto"/>
        <w:ind w:right="43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E2218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Keywords: </w:t>
      </w:r>
      <w:r w:rsidRPr="00E2218B">
        <w:rPr>
          <w:rFonts w:asciiTheme="majorBidi" w:hAnsiTheme="majorBidi" w:cstheme="majorBidi"/>
          <w:i/>
          <w:iCs/>
          <w:sz w:val="24"/>
          <w:szCs w:val="24"/>
        </w:rPr>
        <w:t xml:space="preserve">Marek’s disease, </w:t>
      </w:r>
      <w:proofErr w:type="spellStart"/>
      <w:r w:rsidRPr="00E2218B">
        <w:rPr>
          <w:rFonts w:asciiTheme="majorBidi" w:hAnsiTheme="majorBidi" w:cstheme="majorBidi"/>
          <w:i/>
          <w:iCs/>
          <w:sz w:val="24"/>
          <w:szCs w:val="24"/>
        </w:rPr>
        <w:t>Gallid</w:t>
      </w:r>
      <w:proofErr w:type="spellEnd"/>
      <w:r w:rsidRPr="00E2218B">
        <w:rPr>
          <w:rFonts w:asciiTheme="majorBidi" w:hAnsiTheme="majorBidi" w:cstheme="majorBidi"/>
          <w:i/>
          <w:iCs/>
          <w:sz w:val="24"/>
          <w:szCs w:val="24"/>
        </w:rPr>
        <w:t xml:space="preserve"> herpesvirus 2, turkeys, phylogenetic classification, Egypt.</w:t>
      </w:r>
    </w:p>
    <w:p w:rsidR="00E2218B" w:rsidRDefault="00E2218B" w:rsidP="007C6538">
      <w:pPr>
        <w:spacing w:line="480" w:lineRule="auto"/>
        <w:ind w:right="43"/>
        <w:jc w:val="both"/>
        <w:rPr>
          <w:rFonts w:asciiTheme="majorBidi" w:hAnsiTheme="majorBidi" w:cstheme="majorBidi"/>
          <w:sz w:val="26"/>
          <w:szCs w:val="26"/>
        </w:rPr>
      </w:pPr>
    </w:p>
    <w:sectPr w:rsidR="00E221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880"/>
    <w:rsid w:val="000D3880"/>
    <w:rsid w:val="001909C0"/>
    <w:rsid w:val="00280AA5"/>
    <w:rsid w:val="004E753C"/>
    <w:rsid w:val="0051109D"/>
    <w:rsid w:val="00585D05"/>
    <w:rsid w:val="00586265"/>
    <w:rsid w:val="0062155E"/>
    <w:rsid w:val="00657E6E"/>
    <w:rsid w:val="00703140"/>
    <w:rsid w:val="007C6538"/>
    <w:rsid w:val="008631BC"/>
    <w:rsid w:val="008A3F7A"/>
    <w:rsid w:val="008B13BB"/>
    <w:rsid w:val="00925CB3"/>
    <w:rsid w:val="00AC4B01"/>
    <w:rsid w:val="00B47161"/>
    <w:rsid w:val="00BD0961"/>
    <w:rsid w:val="00DF3F64"/>
    <w:rsid w:val="00E2218B"/>
    <w:rsid w:val="00E223F5"/>
    <w:rsid w:val="00E46D0E"/>
    <w:rsid w:val="00E6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7E487"/>
  <w15:chartTrackingRefBased/>
  <w15:docId w15:val="{C6703742-E55D-4CF7-92E0-AE62EB7B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88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3880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15</cp:revision>
  <dcterms:created xsi:type="dcterms:W3CDTF">2020-01-07T20:37:00Z</dcterms:created>
  <dcterms:modified xsi:type="dcterms:W3CDTF">2020-01-07T22:36:00Z</dcterms:modified>
</cp:coreProperties>
</file>