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CA42D" w14:textId="65801BC4" w:rsidR="004545E1" w:rsidRPr="004545E1" w:rsidRDefault="004545E1" w:rsidP="004545E1">
      <w:pPr>
        <w:jc w:val="both"/>
        <w:rPr>
          <w:sz w:val="24"/>
          <w:szCs w:val="24"/>
          <w:u w:val="single"/>
        </w:rPr>
      </w:pPr>
      <w:r w:rsidRPr="004545E1">
        <w:rPr>
          <w:sz w:val="24"/>
          <w:szCs w:val="24"/>
          <w:u w:val="single"/>
        </w:rPr>
        <w:t>Diagnostic Utility of Multi-Site Photoplethysmography in the Assessment of Peripheral Arterial Disease</w:t>
      </w:r>
    </w:p>
    <w:p w14:paraId="0ECA0BF9" w14:textId="77777777" w:rsidR="00831E1E" w:rsidRPr="00831E1E" w:rsidRDefault="00831E1E" w:rsidP="00831E1E">
      <w:pPr>
        <w:jc w:val="both"/>
        <w:rPr>
          <w:b/>
          <w:bCs/>
        </w:rPr>
      </w:pPr>
      <w:r w:rsidRPr="00831E1E">
        <w:rPr>
          <w:b/>
          <w:bCs/>
        </w:rPr>
        <w:t>Background</w:t>
      </w:r>
    </w:p>
    <w:p w14:paraId="7839FE36" w14:textId="77777777" w:rsidR="00831E1E" w:rsidRPr="00831E1E" w:rsidRDefault="00831E1E" w:rsidP="00831E1E">
      <w:pPr>
        <w:jc w:val="both"/>
      </w:pPr>
      <w:r w:rsidRPr="00831E1E">
        <w:t>Peripheral arterial disease (PAD) refers to atherosclerotic disease of the peripheral arteries, a condition whose presence conveys an increased risk  of systemic cardiovascular morbidity. Prior research has demonstrated the diagnostic capabilities of Shape Index (SI), obtained via multi-site photoplethysmography (MPPG), in detecting significant PAD within a hospital setting.</w:t>
      </w:r>
    </w:p>
    <w:p w14:paraId="63DA44A4" w14:textId="77777777" w:rsidR="00831E1E" w:rsidRPr="00831E1E" w:rsidRDefault="00831E1E" w:rsidP="00831E1E">
      <w:pPr>
        <w:jc w:val="both"/>
      </w:pPr>
    </w:p>
    <w:p w14:paraId="47883E7D" w14:textId="77777777" w:rsidR="00831E1E" w:rsidRPr="00831E1E" w:rsidRDefault="00831E1E" w:rsidP="00831E1E">
      <w:pPr>
        <w:jc w:val="both"/>
        <w:rPr>
          <w:b/>
          <w:bCs/>
        </w:rPr>
      </w:pPr>
      <w:r w:rsidRPr="00831E1E">
        <w:rPr>
          <w:b/>
          <w:bCs/>
        </w:rPr>
        <w:t>Aim of Research</w:t>
      </w:r>
    </w:p>
    <w:p w14:paraId="50D2255D" w14:textId="77777777" w:rsidR="00831E1E" w:rsidRPr="00831E1E" w:rsidRDefault="00831E1E" w:rsidP="00831E1E">
      <w:pPr>
        <w:jc w:val="both"/>
      </w:pPr>
      <w:r w:rsidRPr="00831E1E">
        <w:t>Using vascular ultrasound as the diagnostic reference, our aim was to: (1) Further evaluate the spread of ABI and SI in control and PAD groups, (2) Establish the performance of SI against ABI in PAD diagnosis within a primary care-setting.</w:t>
      </w:r>
    </w:p>
    <w:p w14:paraId="28F04677" w14:textId="77777777" w:rsidR="00831E1E" w:rsidRPr="00831E1E" w:rsidRDefault="00831E1E" w:rsidP="00831E1E">
      <w:pPr>
        <w:jc w:val="both"/>
        <w:rPr>
          <w:b/>
          <w:bCs/>
        </w:rPr>
      </w:pPr>
    </w:p>
    <w:p w14:paraId="24CC095E" w14:textId="77777777" w:rsidR="00831E1E" w:rsidRPr="00831E1E" w:rsidRDefault="00831E1E" w:rsidP="00831E1E">
      <w:pPr>
        <w:jc w:val="both"/>
        <w:rPr>
          <w:b/>
          <w:bCs/>
        </w:rPr>
      </w:pPr>
      <w:r w:rsidRPr="00831E1E">
        <w:rPr>
          <w:b/>
          <w:bCs/>
        </w:rPr>
        <w:t>Methodology</w:t>
      </w:r>
    </w:p>
    <w:p w14:paraId="42900F39" w14:textId="77777777" w:rsidR="00831E1E" w:rsidRPr="00831E1E" w:rsidRDefault="00831E1E" w:rsidP="00831E1E">
      <w:pPr>
        <w:jc w:val="both"/>
      </w:pPr>
      <w:r w:rsidRPr="00831E1E">
        <w:t xml:space="preserve">In this study, MPPG SI and ABI readings of 130 healthy controls and 89 </w:t>
      </w:r>
      <w:proofErr w:type="spellStart"/>
      <w:r w:rsidRPr="00831E1E">
        <w:t>arteriopaths</w:t>
      </w:r>
      <w:proofErr w:type="spellEnd"/>
      <w:r w:rsidRPr="00831E1E">
        <w:t xml:space="preserve"> were obtained. Taking a case- and leg-based approach, the spread of variables was investigated, and diagnostic performance was determined via ROC analyses, diagnostic test accuracy statistics and inter-rater agreement values.</w:t>
      </w:r>
    </w:p>
    <w:p w14:paraId="2BA4E0C4" w14:textId="77777777" w:rsidR="00831E1E" w:rsidRPr="00831E1E" w:rsidRDefault="00831E1E" w:rsidP="00831E1E">
      <w:pPr>
        <w:jc w:val="both"/>
      </w:pPr>
    </w:p>
    <w:p w14:paraId="6F4F779F" w14:textId="77777777" w:rsidR="00831E1E" w:rsidRPr="00831E1E" w:rsidRDefault="00831E1E" w:rsidP="00831E1E">
      <w:pPr>
        <w:jc w:val="both"/>
        <w:rPr>
          <w:b/>
          <w:bCs/>
        </w:rPr>
      </w:pPr>
      <w:r w:rsidRPr="00831E1E">
        <w:rPr>
          <w:b/>
          <w:bCs/>
        </w:rPr>
        <w:t>Results</w:t>
      </w:r>
    </w:p>
    <w:p w14:paraId="56AD0659" w14:textId="743E6A08" w:rsidR="00831E1E" w:rsidRDefault="00831E1E" w:rsidP="00831E1E">
      <w:pPr>
        <w:jc w:val="both"/>
        <w:rPr>
          <w:lang w:val="en-US"/>
        </w:rPr>
      </w:pPr>
      <w:r w:rsidRPr="00831E1E">
        <w:rPr>
          <w:lang w:val="en-US"/>
        </w:rPr>
        <w:t xml:space="preserve">For both approaches, significantly lower ABI and higher SI values were noted in PAD subjects (P&lt;0.05). ABI delivered an </w:t>
      </w:r>
      <w:r w:rsidR="006A401D">
        <w:rPr>
          <w:lang w:val="en-US"/>
        </w:rPr>
        <w:t>Area-under-the-curve (AUC)</w:t>
      </w:r>
      <w:r w:rsidRPr="00831E1E">
        <w:rPr>
          <w:lang w:val="en-US"/>
        </w:rPr>
        <w:t xml:space="preserve"> of 0.88 and 0.86, compared to 0.82 and 0.8 by SI, for case- and leg-based analysis, respectively. Furthermore, ABI delivered diagnostic accuracies &gt;88% (</w:t>
      </w:r>
      <w:r w:rsidRPr="00831E1E">
        <w:t>κ 0.31 – 0.8) </w:t>
      </w:r>
      <w:r w:rsidRPr="00831E1E">
        <w:rPr>
          <w:lang w:val="en-US"/>
        </w:rPr>
        <w:t>and &gt;89% (</w:t>
      </w:r>
      <w:r w:rsidRPr="00831E1E">
        <w:t>κ 0.3 – 0.74)</w:t>
      </w:r>
      <w:r w:rsidRPr="00831E1E">
        <w:rPr>
          <w:lang w:val="en-US"/>
        </w:rPr>
        <w:t>, compared to &gt;78% (</w:t>
      </w:r>
      <w:r w:rsidRPr="00831E1E">
        <w:t xml:space="preserve">κ 0.06 – 0.65) </w:t>
      </w:r>
      <w:r w:rsidRPr="00831E1E">
        <w:rPr>
          <w:lang w:val="en-US"/>
        </w:rPr>
        <w:t>and &gt;74% (</w:t>
      </w:r>
      <w:r w:rsidRPr="00831E1E">
        <w:t xml:space="preserve">κ 0.12 – 0.61) </w:t>
      </w:r>
      <w:r w:rsidRPr="00831E1E">
        <w:rPr>
          <w:lang w:val="en-US"/>
        </w:rPr>
        <w:t>by SI, in case- and leg-based analysis, respectively.</w:t>
      </w:r>
    </w:p>
    <w:p w14:paraId="38C6AD4D" w14:textId="77777777" w:rsidR="004D55AD" w:rsidRPr="00831E1E" w:rsidRDefault="004D55AD" w:rsidP="00831E1E">
      <w:pPr>
        <w:jc w:val="both"/>
        <w:rPr>
          <w:lang w:val="en-US"/>
        </w:rPr>
      </w:pPr>
    </w:p>
    <w:p w14:paraId="09DDEFB8" w14:textId="77777777" w:rsidR="004D55AD" w:rsidRPr="004D55AD" w:rsidRDefault="004D55AD" w:rsidP="004D55AD">
      <w:pPr>
        <w:jc w:val="both"/>
        <w:rPr>
          <w:b/>
          <w:bCs/>
        </w:rPr>
      </w:pPr>
      <w:r w:rsidRPr="004D55AD">
        <w:rPr>
          <w:b/>
          <w:bCs/>
        </w:rPr>
        <w:t>Conclusion</w:t>
      </w:r>
    </w:p>
    <w:p w14:paraId="437F5DAF" w14:textId="22421F2B" w:rsidR="00A218E4" w:rsidRDefault="004D55AD" w:rsidP="004D55AD">
      <w:pPr>
        <w:jc w:val="both"/>
      </w:pPr>
      <w:r w:rsidRPr="004D55AD">
        <w:t>Although slightly overshadowed by ABI in this study, the capacity of SI to distinguish between health and disease is very good. Furthermore, revision of certain aspects of measurement and MPPG technology would likely convey an improvement in diagnostic performance.</w:t>
      </w:r>
    </w:p>
    <w:sectPr w:rsidR="00A218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E1"/>
    <w:rsid w:val="004545E1"/>
    <w:rsid w:val="004D55AD"/>
    <w:rsid w:val="006A401D"/>
    <w:rsid w:val="00831E1E"/>
    <w:rsid w:val="009314DA"/>
    <w:rsid w:val="00A218E4"/>
    <w:rsid w:val="00A36A2F"/>
    <w:rsid w:val="00C43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4B3D7"/>
  <w15:chartTrackingRefBased/>
  <w15:docId w15:val="{028D727A-62FC-4B09-A0D1-C529C04C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A14F9E02122C4585310736873A361A" ma:contentTypeVersion="10" ma:contentTypeDescription="Create a new document." ma:contentTypeScope="" ma:versionID="80809af2ba9417380ecdc2e7b5ee0741">
  <xsd:schema xmlns:xsd="http://www.w3.org/2001/XMLSchema" xmlns:xs="http://www.w3.org/2001/XMLSchema" xmlns:p="http://schemas.microsoft.com/office/2006/metadata/properties" xmlns:ns1="http://schemas.microsoft.com/sharepoint/v3" xmlns:ns3="19ce3b7e-edbc-435b-a07d-d0bc86dfef99" targetNamespace="http://schemas.microsoft.com/office/2006/metadata/properties" ma:root="true" ma:fieldsID="607cf934d3ec122baed16370378721a6" ns1:_="" ns3:_="">
    <xsd:import namespace="http://schemas.microsoft.com/sharepoint/v3"/>
    <xsd:import namespace="19ce3b7e-edbc-435b-a07d-d0bc86dfef9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ce3b7e-edbc-435b-a07d-d0bc86dfef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DA4391-EC6B-4F07-832D-FE156A855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ce3b7e-edbc-435b-a07d-d0bc86dfef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1C2456-43A8-406C-BFF4-17132F55A46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B4944BB-70B5-41BD-BEEA-C944D33A3996}">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HUTHART, Sam (LEEDS TEACHING HOSPITALS NHS TRUST)</dc:creator>
  <cp:keywords/>
  <dc:description/>
  <cp:lastModifiedBy>HUTHART, Sam (LEEDS TEACHING HOSPITALS NHS TRUST)</cp:lastModifiedBy>
  <cp:revision>5</cp:revision>
  <dcterms:created xsi:type="dcterms:W3CDTF">2022-05-26T12:35:00Z</dcterms:created>
  <dcterms:modified xsi:type="dcterms:W3CDTF">2022-05-26T12:40:00Z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0x0101003EA14F9E02122C4585310736873A361A</vt:lpwstr>
  </property>
</Properties>
</file>