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507" w:rsidRPr="007D517D" w:rsidRDefault="002C01BF" w:rsidP="007D517D">
      <w:pPr>
        <w:pStyle w:val="Default"/>
        <w:jc w:val="both"/>
        <w:rPr>
          <w:rFonts w:asciiTheme="minorHAnsi" w:hAnsiTheme="minorHAnsi" w:cstheme="minorHAnsi"/>
        </w:rPr>
      </w:pPr>
      <w:r w:rsidRPr="007D517D">
        <w:rPr>
          <w:rFonts w:asciiTheme="minorHAnsi" w:hAnsiTheme="minorHAnsi" w:cstheme="minorHAnsi"/>
          <w:b/>
          <w:bCs/>
        </w:rPr>
        <w:t>Title:</w:t>
      </w:r>
      <w:r w:rsidR="00A15507" w:rsidRPr="007D517D">
        <w:rPr>
          <w:rFonts w:asciiTheme="minorHAnsi" w:hAnsiTheme="minorHAnsi" w:cstheme="minorHAnsi"/>
        </w:rPr>
        <w:t xml:space="preserve"> Retrograde popliteal approach with total SFA occlusion for revascularization </w:t>
      </w:r>
      <w:r w:rsidRPr="007D517D">
        <w:rPr>
          <w:rFonts w:asciiTheme="minorHAnsi" w:hAnsiTheme="minorHAnsi" w:cstheme="minorHAnsi"/>
        </w:rPr>
        <w:t xml:space="preserve">of </w:t>
      </w:r>
      <w:r w:rsidR="00A15507" w:rsidRPr="007D517D">
        <w:rPr>
          <w:rFonts w:asciiTheme="minorHAnsi" w:hAnsiTheme="minorHAnsi" w:cstheme="minorHAnsi"/>
        </w:rPr>
        <w:t xml:space="preserve">critical </w:t>
      </w:r>
      <w:r w:rsidRPr="007D517D">
        <w:rPr>
          <w:rFonts w:asciiTheme="minorHAnsi" w:hAnsiTheme="minorHAnsi" w:cstheme="minorHAnsi"/>
        </w:rPr>
        <w:t xml:space="preserve">limb </w:t>
      </w:r>
      <w:r w:rsidR="00A15507" w:rsidRPr="007D517D">
        <w:rPr>
          <w:rFonts w:asciiTheme="minorHAnsi" w:hAnsiTheme="minorHAnsi" w:cstheme="minorHAnsi"/>
        </w:rPr>
        <w:t xml:space="preserve">ischemia </w:t>
      </w:r>
    </w:p>
    <w:p w:rsidR="007D517D" w:rsidRPr="007D517D" w:rsidRDefault="007D517D" w:rsidP="007D517D">
      <w:pPr>
        <w:pStyle w:val="Default"/>
        <w:jc w:val="both"/>
        <w:rPr>
          <w:rFonts w:asciiTheme="minorHAnsi" w:hAnsiTheme="minorHAnsi" w:cstheme="minorHAnsi"/>
        </w:rPr>
      </w:pPr>
      <w:r w:rsidRPr="007D517D">
        <w:rPr>
          <w:rFonts w:asciiTheme="minorHAnsi" w:hAnsiTheme="minorHAnsi" w:cstheme="minorHAnsi"/>
          <w:b/>
          <w:bCs/>
        </w:rPr>
        <w:t>Author:</w:t>
      </w:r>
      <w:r w:rsidRPr="007D517D">
        <w:rPr>
          <w:rFonts w:asciiTheme="minorHAnsi" w:hAnsiTheme="minorHAnsi" w:cstheme="minorHAnsi"/>
        </w:rPr>
        <w:t xml:space="preserve"> Nagib, Sohiel.</w:t>
      </w:r>
    </w:p>
    <w:p w:rsidR="007D517D" w:rsidRPr="007D517D" w:rsidRDefault="007D517D" w:rsidP="007D517D">
      <w:pPr>
        <w:pStyle w:val="Default"/>
        <w:jc w:val="both"/>
        <w:rPr>
          <w:rFonts w:asciiTheme="minorHAnsi" w:hAnsiTheme="minorHAnsi" w:cstheme="minorHAnsi"/>
        </w:rPr>
      </w:pPr>
      <w:r w:rsidRPr="007D517D">
        <w:rPr>
          <w:rFonts w:asciiTheme="minorHAnsi" w:hAnsiTheme="minorHAnsi" w:cstheme="minorHAnsi"/>
        </w:rPr>
        <w:t>Vascular surgeon Abu Qir hospital, Alexandria- Egypt</w:t>
      </w:r>
    </w:p>
    <w:p w:rsidR="00A15507" w:rsidRPr="007D517D" w:rsidRDefault="002C01BF" w:rsidP="007D517D">
      <w:pPr>
        <w:pStyle w:val="Default"/>
        <w:jc w:val="both"/>
        <w:rPr>
          <w:rFonts w:asciiTheme="minorHAnsi" w:hAnsiTheme="minorHAnsi" w:cstheme="minorHAnsi"/>
        </w:rPr>
      </w:pPr>
      <w:r w:rsidRPr="007D517D">
        <w:rPr>
          <w:rFonts w:asciiTheme="minorHAnsi" w:hAnsiTheme="minorHAnsi" w:cstheme="minorHAnsi"/>
          <w:b/>
          <w:bCs/>
        </w:rPr>
        <w:t>Background:</w:t>
      </w:r>
      <w:r w:rsidR="00A15507" w:rsidRPr="007D517D">
        <w:rPr>
          <w:rFonts w:asciiTheme="minorHAnsi" w:hAnsiTheme="minorHAnsi" w:cstheme="minorHAnsi"/>
        </w:rPr>
        <w:t xml:space="preserve"> Vascular intervention of superficial femoral artery (SFA) chronic total occlusions (CTO) is sometimes unsuccessful when the CTO cannot be crossed antegradely via ipsilateral femoral approach because the proximal CTO cap is fibrocalcific or a CTO “nubbin” is absent.  For these cases, retrograde popliteal access RPA provides an alternative to traditional approaches which first described in 1988. </w:t>
      </w:r>
    </w:p>
    <w:p w:rsidR="009337EC" w:rsidRPr="009337EC" w:rsidRDefault="002C01BF" w:rsidP="007D517D">
      <w:pPr>
        <w:bidi w:val="0"/>
        <w:jc w:val="both"/>
        <w:rPr>
          <w:rFonts w:cstheme="minorHAnsi"/>
          <w:sz w:val="24"/>
          <w:szCs w:val="24"/>
          <w:lang w:bidi="ar-EG"/>
        </w:rPr>
      </w:pPr>
      <w:r w:rsidRPr="007D517D">
        <w:rPr>
          <w:rFonts w:cstheme="minorHAnsi"/>
          <w:sz w:val="24"/>
          <w:szCs w:val="24"/>
        </w:rPr>
        <w:t>Objective:</w:t>
      </w:r>
      <w:r w:rsidR="00A15507" w:rsidRPr="007D517D">
        <w:rPr>
          <w:rFonts w:cstheme="minorHAnsi"/>
          <w:sz w:val="24"/>
          <w:szCs w:val="24"/>
        </w:rPr>
        <w:t xml:space="preserve"> The goal of this study is to demonstrate</w:t>
      </w:r>
      <w:r w:rsidRPr="007D517D">
        <w:rPr>
          <w:rFonts w:cstheme="minorHAnsi"/>
          <w:sz w:val="24"/>
          <w:szCs w:val="24"/>
        </w:rPr>
        <w:t xml:space="preserve"> our experience of the</w:t>
      </w:r>
      <w:r w:rsidR="00A15507" w:rsidRPr="007D517D">
        <w:rPr>
          <w:rFonts w:cstheme="minorHAnsi"/>
          <w:sz w:val="24"/>
          <w:szCs w:val="24"/>
        </w:rPr>
        <w:t xml:space="preserve"> efficacy and safety of retrograde popliteal approach in SFA chronic total occlusion.</w:t>
      </w:r>
      <w:r w:rsidR="007D517D" w:rsidRPr="007D517D">
        <w:rPr>
          <w:rFonts w:cstheme="minorHAnsi"/>
          <w:sz w:val="24"/>
          <w:szCs w:val="24"/>
          <w:lang w:bidi="ar-EG"/>
        </w:rPr>
        <w:t xml:space="preserve">                                             </w:t>
      </w:r>
      <w:r w:rsidRPr="007D517D">
        <w:rPr>
          <w:rFonts w:eastAsia="Times New Roman" w:cstheme="minorHAnsi"/>
          <w:b/>
          <w:bCs/>
          <w:caps/>
          <w:color w:val="000000"/>
          <w:sz w:val="24"/>
          <w:szCs w:val="24"/>
        </w:rPr>
        <w:t>METHOD:</w:t>
      </w:r>
      <w:r w:rsidRPr="007D517D">
        <w:rPr>
          <w:rFonts w:eastAsia="Times New Roman" w:cstheme="minorHAnsi"/>
          <w:color w:val="000000"/>
          <w:sz w:val="24"/>
          <w:szCs w:val="24"/>
        </w:rPr>
        <w:t xml:space="preserve"> From</w:t>
      </w:r>
      <w:r w:rsidR="009337EC" w:rsidRPr="009337EC">
        <w:rPr>
          <w:rFonts w:eastAsia="Times New Roman" w:cstheme="minorHAnsi"/>
          <w:color w:val="000000"/>
          <w:sz w:val="24"/>
          <w:szCs w:val="24"/>
        </w:rPr>
        <w:t xml:space="preserve"> July 201</w:t>
      </w:r>
      <w:r w:rsidR="009337EC" w:rsidRPr="007D517D">
        <w:rPr>
          <w:rFonts w:eastAsia="Times New Roman" w:cstheme="minorHAnsi"/>
          <w:color w:val="000000"/>
          <w:sz w:val="24"/>
          <w:szCs w:val="24"/>
        </w:rPr>
        <w:t>7</w:t>
      </w:r>
      <w:r w:rsidR="009337EC" w:rsidRPr="009337EC">
        <w:rPr>
          <w:rFonts w:eastAsia="Times New Roman" w:cstheme="minorHAnsi"/>
          <w:color w:val="000000"/>
          <w:sz w:val="24"/>
          <w:szCs w:val="24"/>
        </w:rPr>
        <w:t xml:space="preserve"> to May 201</w:t>
      </w:r>
      <w:r w:rsidR="009337EC" w:rsidRPr="007D517D">
        <w:rPr>
          <w:rFonts w:eastAsia="Times New Roman" w:cstheme="minorHAnsi"/>
          <w:color w:val="000000"/>
          <w:sz w:val="24"/>
          <w:szCs w:val="24"/>
        </w:rPr>
        <w:t>8</w:t>
      </w:r>
      <w:r w:rsidR="009337EC" w:rsidRPr="009337EC">
        <w:rPr>
          <w:rFonts w:eastAsia="Times New Roman" w:cstheme="minorHAnsi"/>
          <w:color w:val="000000"/>
          <w:sz w:val="24"/>
          <w:szCs w:val="24"/>
        </w:rPr>
        <w:t xml:space="preserve">, a total of 8 patients with total occlusion of the SFA and good distal runoff were treated with percutaneous </w:t>
      </w:r>
      <w:r w:rsidR="009337EC" w:rsidRPr="007D517D">
        <w:rPr>
          <w:rFonts w:eastAsia="Times New Roman" w:cstheme="minorHAnsi"/>
          <w:color w:val="000000"/>
          <w:sz w:val="24"/>
          <w:szCs w:val="24"/>
        </w:rPr>
        <w:t>balloon angioplasty.</w:t>
      </w:r>
      <w:r w:rsidR="009337EC" w:rsidRPr="009337EC">
        <w:rPr>
          <w:rFonts w:eastAsia="Times New Roman" w:cstheme="minorHAnsi"/>
          <w:color w:val="000000"/>
          <w:sz w:val="24"/>
          <w:szCs w:val="24"/>
        </w:rPr>
        <w:t xml:space="preserve"> All patients had severe claudication or critical limb ischemia</w:t>
      </w:r>
      <w:r w:rsidRPr="007D517D">
        <w:rPr>
          <w:rFonts w:eastAsia="Times New Roman" w:cstheme="minorHAnsi"/>
          <w:color w:val="000000"/>
          <w:sz w:val="24"/>
          <w:szCs w:val="24"/>
        </w:rPr>
        <w:t>.</w:t>
      </w:r>
      <w:r w:rsidR="007D517D" w:rsidRPr="007D517D">
        <w:rPr>
          <w:rFonts w:cstheme="minorHAnsi"/>
          <w:sz w:val="24"/>
          <w:szCs w:val="24"/>
          <w:lang w:bidi="ar-EG"/>
        </w:rPr>
        <w:t xml:space="preserve">                                                                                                                    </w:t>
      </w:r>
      <w:r w:rsidR="009337EC" w:rsidRPr="009337EC">
        <w:rPr>
          <w:rFonts w:eastAsia="Times New Roman" w:cstheme="minorHAnsi"/>
          <w:b/>
          <w:bCs/>
          <w:caps/>
          <w:color w:val="000000"/>
          <w:sz w:val="24"/>
          <w:szCs w:val="24"/>
        </w:rPr>
        <w:t>RESULTS</w:t>
      </w:r>
      <w:r w:rsidRPr="007D517D">
        <w:rPr>
          <w:rFonts w:eastAsia="Times New Roman" w:cstheme="minorHAnsi"/>
          <w:b/>
          <w:bCs/>
          <w:caps/>
          <w:color w:val="000000"/>
          <w:sz w:val="24"/>
          <w:szCs w:val="24"/>
        </w:rPr>
        <w:t>:</w:t>
      </w:r>
      <w:r w:rsidRPr="007D517D">
        <w:rPr>
          <w:rFonts w:eastAsia="Times New Roman" w:cstheme="minorHAnsi"/>
          <w:color w:val="000000"/>
          <w:sz w:val="24"/>
          <w:szCs w:val="24"/>
        </w:rPr>
        <w:t xml:space="preserve"> 7</w:t>
      </w:r>
      <w:r w:rsidR="009337EC" w:rsidRPr="007D517D">
        <w:rPr>
          <w:rFonts w:eastAsia="Times New Roman" w:cstheme="minorHAnsi"/>
          <w:color w:val="000000"/>
          <w:sz w:val="24"/>
          <w:szCs w:val="24"/>
        </w:rPr>
        <w:t xml:space="preserve"> </w:t>
      </w:r>
      <w:r w:rsidR="009337EC" w:rsidRPr="009337EC">
        <w:rPr>
          <w:rFonts w:eastAsia="Times New Roman" w:cstheme="minorHAnsi"/>
          <w:color w:val="000000"/>
          <w:sz w:val="24"/>
          <w:szCs w:val="24"/>
        </w:rPr>
        <w:t>men</w:t>
      </w:r>
      <w:r w:rsidR="009337EC" w:rsidRPr="007D517D">
        <w:rPr>
          <w:rFonts w:eastAsia="Times New Roman" w:cstheme="minorHAnsi"/>
          <w:color w:val="000000"/>
          <w:sz w:val="24"/>
          <w:szCs w:val="24"/>
        </w:rPr>
        <w:t xml:space="preserve"> and one lady with mean age 60.2 ± 6.5 years.</w:t>
      </w:r>
      <w:r w:rsidRPr="007D517D">
        <w:rPr>
          <w:rFonts w:eastAsia="Times New Roman" w:cstheme="minorHAnsi"/>
          <w:color w:val="000000"/>
          <w:sz w:val="24"/>
          <w:szCs w:val="24"/>
        </w:rPr>
        <w:t xml:space="preserve"> </w:t>
      </w:r>
      <w:r w:rsidRPr="009337EC">
        <w:rPr>
          <w:rFonts w:eastAsia="Times New Roman" w:cstheme="minorHAnsi"/>
          <w:color w:val="000000"/>
          <w:sz w:val="24"/>
          <w:szCs w:val="24"/>
        </w:rPr>
        <w:t xml:space="preserve">mean length </w:t>
      </w:r>
      <w:r w:rsidRPr="007D517D">
        <w:rPr>
          <w:rFonts w:eastAsia="Times New Roman" w:cstheme="minorHAnsi"/>
          <w:color w:val="000000"/>
          <w:sz w:val="24"/>
          <w:szCs w:val="24"/>
        </w:rPr>
        <w:t>of the occluded sfa segment was</w:t>
      </w:r>
      <w:r w:rsidRPr="009337EC">
        <w:rPr>
          <w:rFonts w:eastAsia="Times New Roman" w:cstheme="minorHAnsi"/>
          <w:color w:val="000000"/>
          <w:sz w:val="24"/>
          <w:szCs w:val="24"/>
        </w:rPr>
        <w:t>165.3 ± 57.5 mm, range 72-336 mm</w:t>
      </w:r>
      <w:r w:rsidR="009337EC" w:rsidRPr="009337EC">
        <w:rPr>
          <w:rFonts w:eastAsia="Times New Roman" w:cstheme="minorHAnsi"/>
          <w:color w:val="000000"/>
          <w:sz w:val="24"/>
          <w:szCs w:val="24"/>
        </w:rPr>
        <w:t xml:space="preserve"> Technical succes</w:t>
      </w:r>
      <w:r w:rsidR="009337EC" w:rsidRPr="007D517D">
        <w:rPr>
          <w:rFonts w:eastAsia="Times New Roman" w:cstheme="minorHAnsi"/>
          <w:color w:val="000000"/>
          <w:sz w:val="24"/>
          <w:szCs w:val="24"/>
        </w:rPr>
        <w:t xml:space="preserve">s was achieved in all cases. </w:t>
      </w:r>
      <w:r w:rsidR="009337EC" w:rsidRPr="009337EC">
        <w:rPr>
          <w:rFonts w:eastAsia="Times New Roman" w:cstheme="minorHAnsi"/>
          <w:color w:val="000000"/>
          <w:sz w:val="24"/>
          <w:szCs w:val="24"/>
        </w:rPr>
        <w:t>(</w:t>
      </w:r>
      <w:r w:rsidR="009337EC" w:rsidRPr="007D517D">
        <w:rPr>
          <w:rFonts w:eastAsia="Times New Roman" w:cstheme="minorHAnsi"/>
          <w:color w:val="000000"/>
          <w:sz w:val="24"/>
          <w:szCs w:val="24"/>
        </w:rPr>
        <w:t>8,100</w:t>
      </w:r>
      <w:r w:rsidR="009337EC" w:rsidRPr="009337EC">
        <w:rPr>
          <w:rFonts w:eastAsia="Times New Roman" w:cstheme="minorHAnsi"/>
          <w:color w:val="000000"/>
          <w:sz w:val="24"/>
          <w:szCs w:val="24"/>
        </w:rPr>
        <w:t xml:space="preserve">%) of the patients, endoluminal recanalization was possible from the popliteal access During </w:t>
      </w:r>
      <w:r w:rsidRPr="007D517D">
        <w:rPr>
          <w:rFonts w:eastAsia="Times New Roman" w:cstheme="minorHAnsi"/>
          <w:color w:val="000000"/>
          <w:sz w:val="24"/>
          <w:szCs w:val="24"/>
        </w:rPr>
        <w:t xml:space="preserve">one year </w:t>
      </w:r>
      <w:r w:rsidR="009337EC" w:rsidRPr="009337EC">
        <w:rPr>
          <w:rFonts w:eastAsia="Times New Roman" w:cstheme="minorHAnsi"/>
          <w:color w:val="000000"/>
          <w:sz w:val="24"/>
          <w:szCs w:val="24"/>
        </w:rPr>
        <w:t xml:space="preserve"> follow-up, claudication, severity, rest pain, and toe ulcers improved significantly. Ankle-</w:t>
      </w:r>
      <w:r w:rsidRPr="007D517D">
        <w:rPr>
          <w:rFonts w:eastAsia="Times New Roman" w:cstheme="minorHAnsi"/>
          <w:color w:val="000000"/>
          <w:sz w:val="24"/>
          <w:szCs w:val="24"/>
        </w:rPr>
        <w:t>brachial index changed from 0.56</w:t>
      </w:r>
      <w:r w:rsidR="009337EC" w:rsidRPr="009337EC">
        <w:rPr>
          <w:rFonts w:eastAsia="Times New Roman" w:cstheme="minorHAnsi"/>
          <w:color w:val="000000"/>
          <w:sz w:val="24"/>
          <w:szCs w:val="24"/>
        </w:rPr>
        <w:t xml:space="preserve"> ± 0.11 to 0.91 ± 0.2 at 1 year after intervention ( P &lt; .001), and patency rates at 1, 6, and 12 months after interventions were 100%,</w:t>
      </w:r>
      <w:r w:rsidRPr="007D517D">
        <w:rPr>
          <w:rFonts w:eastAsia="Times New Roman" w:cstheme="minorHAnsi"/>
          <w:color w:val="000000"/>
          <w:sz w:val="24"/>
          <w:szCs w:val="24"/>
        </w:rPr>
        <w:t xml:space="preserve"> 93.2%, and 84</w:t>
      </w:r>
      <w:r w:rsidR="009337EC" w:rsidRPr="007D517D">
        <w:rPr>
          <w:rFonts w:eastAsia="Times New Roman" w:cstheme="minorHAnsi"/>
          <w:color w:val="000000"/>
          <w:sz w:val="24"/>
          <w:szCs w:val="24"/>
        </w:rPr>
        <w:t>.7%, respectively</w:t>
      </w:r>
      <w:r w:rsidR="009337EC" w:rsidRPr="009337EC">
        <w:rPr>
          <w:rFonts w:eastAsia="Times New Roman" w:cstheme="minorHAnsi"/>
          <w:color w:val="000000"/>
          <w:sz w:val="24"/>
          <w:szCs w:val="24"/>
        </w:rPr>
        <w:t>.</w:t>
      </w:r>
      <w:r w:rsidR="007D517D" w:rsidRPr="007D517D">
        <w:rPr>
          <w:rFonts w:cstheme="minorHAnsi"/>
          <w:sz w:val="24"/>
          <w:szCs w:val="24"/>
          <w:lang w:bidi="ar-EG"/>
        </w:rPr>
        <w:t xml:space="preserve">                                                                                                                       </w:t>
      </w:r>
      <w:r w:rsidR="007D517D" w:rsidRPr="007D517D">
        <w:rPr>
          <w:rFonts w:eastAsia="Times New Roman" w:cstheme="minorHAnsi"/>
          <w:b/>
          <w:bCs/>
          <w:caps/>
          <w:color w:val="000000"/>
          <w:sz w:val="24"/>
          <w:szCs w:val="24"/>
        </w:rPr>
        <w:t>CONCLUSION:</w:t>
      </w:r>
      <w:r w:rsidR="007D517D" w:rsidRPr="007D517D">
        <w:rPr>
          <w:rFonts w:eastAsia="Times New Roman" w:cstheme="minorHAnsi"/>
          <w:color w:val="000000"/>
          <w:sz w:val="24"/>
          <w:szCs w:val="24"/>
        </w:rPr>
        <w:t xml:space="preserve"> The</w:t>
      </w:r>
      <w:r w:rsidR="009337EC" w:rsidRPr="009337EC">
        <w:rPr>
          <w:rFonts w:eastAsia="Times New Roman" w:cstheme="minorHAnsi"/>
          <w:color w:val="000000"/>
          <w:sz w:val="24"/>
          <w:szCs w:val="24"/>
        </w:rPr>
        <w:t xml:space="preserve"> retrograde popliteal artery approach under duplex guidance can be considered as safe, efficient, and the primary SFA recanalization </w:t>
      </w:r>
      <w:r w:rsidRPr="007D517D">
        <w:rPr>
          <w:rFonts w:eastAsia="Times New Roman" w:cstheme="minorHAnsi"/>
          <w:color w:val="000000"/>
          <w:sz w:val="24"/>
          <w:szCs w:val="24"/>
        </w:rPr>
        <w:t xml:space="preserve">with good </w:t>
      </w:r>
      <w:r w:rsidR="009337EC" w:rsidRPr="009337EC">
        <w:rPr>
          <w:rFonts w:eastAsia="Times New Roman" w:cstheme="minorHAnsi"/>
          <w:color w:val="000000"/>
          <w:sz w:val="24"/>
          <w:szCs w:val="24"/>
        </w:rPr>
        <w:t>immediate and mid-term results</w:t>
      </w:r>
    </w:p>
    <w:p w:rsidR="00A15507" w:rsidRDefault="00A15507" w:rsidP="00A15507">
      <w:pPr>
        <w:bidi w:val="0"/>
        <w:rPr>
          <w:rFonts w:hint="cs"/>
          <w:lang w:bidi="ar-EG"/>
        </w:rPr>
      </w:pPr>
    </w:p>
    <w:sectPr w:rsidR="00A15507" w:rsidSect="00BF4E8A">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SimSu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15507"/>
    <w:rsid w:val="002C01BF"/>
    <w:rsid w:val="00590C23"/>
    <w:rsid w:val="007D517D"/>
    <w:rsid w:val="009337EC"/>
    <w:rsid w:val="00A15507"/>
    <w:rsid w:val="00B50701"/>
    <w:rsid w:val="00BF4E8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C23"/>
    <w:pPr>
      <w:bidi/>
    </w:pPr>
  </w:style>
  <w:style w:type="paragraph" w:styleId="Heading4">
    <w:name w:val="heading 4"/>
    <w:basedOn w:val="Normal"/>
    <w:link w:val="Heading4Char"/>
    <w:uiPriority w:val="9"/>
    <w:qFormat/>
    <w:rsid w:val="009337EC"/>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5507"/>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9337E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9337EC"/>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4319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2019-06-14T07:12:00Z</dcterms:created>
  <dcterms:modified xsi:type="dcterms:W3CDTF">2019-06-14T07:53:00Z</dcterms:modified>
</cp:coreProperties>
</file>