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B58" w:rsidRDefault="00E82B58">
      <w:pPr>
        <w:rPr>
          <w:rFonts w:asciiTheme="majorBidi" w:hAnsiTheme="majorBidi" w:cstheme="majorBidi"/>
          <w:sz w:val="24"/>
          <w:szCs w:val="24"/>
        </w:rPr>
      </w:pPr>
      <w:r w:rsidRPr="00E82B58">
        <w:rPr>
          <w:rFonts w:asciiTheme="majorBidi" w:hAnsiTheme="majorBidi" w:cstheme="majorBidi"/>
          <w:sz w:val="24"/>
          <w:szCs w:val="24"/>
        </w:rPr>
        <w:t>Acute Upper Extremity Deep Vein Thrombosis- Effectiveness of SVC Filter</w:t>
      </w:r>
    </w:p>
    <w:p w:rsidR="00E6275A" w:rsidRPr="005756BB" w:rsidRDefault="008A21A0">
      <w:pPr>
        <w:rPr>
          <w:rFonts w:asciiTheme="majorBidi" w:hAnsiTheme="majorBidi" w:cstheme="majorBidi"/>
          <w:sz w:val="24"/>
          <w:szCs w:val="24"/>
        </w:rPr>
      </w:pPr>
      <w:r w:rsidRPr="005756BB">
        <w:rPr>
          <w:rFonts w:asciiTheme="majorBidi" w:hAnsiTheme="majorBidi" w:cstheme="majorBidi"/>
          <w:sz w:val="24"/>
          <w:szCs w:val="24"/>
        </w:rPr>
        <w:t>Introduction:</w:t>
      </w:r>
    </w:p>
    <w:p w:rsidR="000839BD" w:rsidRPr="005756BB" w:rsidRDefault="008A21A0">
      <w:pPr>
        <w:rPr>
          <w:rFonts w:asciiTheme="majorBidi" w:hAnsiTheme="majorBidi" w:cstheme="majorBidi"/>
          <w:sz w:val="24"/>
          <w:szCs w:val="24"/>
        </w:rPr>
      </w:pPr>
      <w:r w:rsidRPr="005756BB">
        <w:rPr>
          <w:rFonts w:asciiTheme="majorBidi" w:hAnsiTheme="majorBidi" w:cstheme="majorBidi"/>
          <w:sz w:val="24"/>
          <w:szCs w:val="24"/>
        </w:rPr>
        <w:t>With the advent of central lines, pacemakers and defibrillators upper extremity deep venous thrombosis (DVTs) are increasingly common. An upper extremity DVT has about 5-10% chance of becoming a pulmonary embolism (P.E). Catheter related thrombi result in P.E more frequently than primary upper extremity DVT. Several reports of fatal P.E due to upper extremity DVT had been documented. While the first line of treatment of DVT remains Anti- coagulation</w:t>
      </w:r>
      <w:r w:rsidR="00E6275A" w:rsidRPr="005756BB">
        <w:rPr>
          <w:rFonts w:asciiTheme="majorBidi" w:hAnsiTheme="majorBidi" w:cstheme="majorBidi"/>
          <w:sz w:val="24"/>
          <w:szCs w:val="24"/>
        </w:rPr>
        <w:t xml:space="preserve">, when it becomes contra-indicated filters are option. </w:t>
      </w:r>
      <w:proofErr w:type="spellStart"/>
      <w:r w:rsidR="00E6275A" w:rsidRPr="005756BB">
        <w:rPr>
          <w:rFonts w:asciiTheme="majorBidi" w:hAnsiTheme="majorBidi" w:cstheme="majorBidi"/>
          <w:sz w:val="24"/>
          <w:szCs w:val="24"/>
        </w:rPr>
        <w:t>Langhan</w:t>
      </w:r>
      <w:proofErr w:type="spellEnd"/>
      <w:r w:rsidR="00E6275A" w:rsidRPr="005756BB">
        <w:rPr>
          <w:rFonts w:asciiTheme="majorBidi" w:hAnsiTheme="majorBidi" w:cstheme="majorBidi"/>
          <w:sz w:val="24"/>
          <w:szCs w:val="24"/>
        </w:rPr>
        <w:t xml:space="preserve"> and Greenfield demonstrated in 1985 that SVC filters could safely be deployed in dogs. To date, a total of 127 cases are documented in literature.</w:t>
      </w:r>
    </w:p>
    <w:p w:rsidR="00E6275A" w:rsidRPr="005756BB" w:rsidRDefault="00E6275A">
      <w:pPr>
        <w:rPr>
          <w:rFonts w:asciiTheme="majorBidi" w:hAnsiTheme="majorBidi" w:cstheme="majorBidi"/>
          <w:sz w:val="24"/>
          <w:szCs w:val="24"/>
        </w:rPr>
      </w:pPr>
      <w:r w:rsidRPr="005756BB">
        <w:rPr>
          <w:rFonts w:asciiTheme="majorBidi" w:hAnsiTheme="majorBidi" w:cstheme="majorBidi"/>
          <w:sz w:val="24"/>
          <w:szCs w:val="24"/>
        </w:rPr>
        <w:t>Objectives:</w:t>
      </w:r>
    </w:p>
    <w:p w:rsidR="00E6275A" w:rsidRPr="005756BB" w:rsidRDefault="00E6275A">
      <w:pPr>
        <w:rPr>
          <w:rFonts w:asciiTheme="majorBidi" w:hAnsiTheme="majorBidi" w:cstheme="majorBidi"/>
          <w:sz w:val="24"/>
          <w:szCs w:val="24"/>
        </w:rPr>
      </w:pPr>
      <w:r w:rsidRPr="005756BB">
        <w:rPr>
          <w:rFonts w:asciiTheme="majorBidi" w:hAnsiTheme="majorBidi" w:cstheme="majorBidi"/>
          <w:sz w:val="24"/>
          <w:szCs w:val="24"/>
        </w:rPr>
        <w:t>To evaluate the safety and effectiveness of percutaneous filter placement in superior vena-cava for prevention of pulmonary embolism due to acute upper extremity deep venous thrombosis in patients contra-indicated anti-coagulation.</w:t>
      </w:r>
    </w:p>
    <w:p w:rsidR="008C75D6" w:rsidRDefault="008C75D6">
      <w:pPr>
        <w:rPr>
          <w:rFonts w:asciiTheme="majorBidi" w:hAnsiTheme="majorBidi" w:cstheme="majorBidi"/>
          <w:sz w:val="24"/>
          <w:szCs w:val="24"/>
        </w:rPr>
      </w:pPr>
      <w:r>
        <w:rPr>
          <w:rFonts w:asciiTheme="majorBidi" w:hAnsiTheme="majorBidi" w:cstheme="majorBidi"/>
          <w:sz w:val="24"/>
          <w:szCs w:val="24"/>
        </w:rPr>
        <w:t>Materials:</w:t>
      </w:r>
    </w:p>
    <w:p w:rsidR="008C75D6" w:rsidRDefault="008C75D6">
      <w:pPr>
        <w:rPr>
          <w:rFonts w:asciiTheme="majorBidi" w:hAnsiTheme="majorBidi" w:cstheme="majorBidi"/>
          <w:sz w:val="24"/>
          <w:szCs w:val="24"/>
        </w:rPr>
      </w:pPr>
      <w:r>
        <w:rPr>
          <w:rFonts w:asciiTheme="majorBidi" w:hAnsiTheme="majorBidi" w:cstheme="majorBidi"/>
          <w:sz w:val="24"/>
          <w:szCs w:val="24"/>
        </w:rPr>
        <w:t xml:space="preserve">SVC Filters were used in </w:t>
      </w:r>
      <w:r w:rsidR="00BB1469">
        <w:rPr>
          <w:rFonts w:asciiTheme="majorBidi" w:hAnsiTheme="majorBidi" w:cstheme="majorBidi"/>
          <w:sz w:val="24"/>
          <w:szCs w:val="24"/>
        </w:rPr>
        <w:t>4</w:t>
      </w:r>
      <w:r>
        <w:rPr>
          <w:rFonts w:asciiTheme="majorBidi" w:hAnsiTheme="majorBidi" w:cstheme="majorBidi"/>
          <w:sz w:val="24"/>
          <w:szCs w:val="24"/>
        </w:rPr>
        <w:t xml:space="preserve"> patients</w:t>
      </w:r>
    </w:p>
    <w:p w:rsidR="00E6275A" w:rsidRPr="005756BB" w:rsidRDefault="00E6275A">
      <w:pPr>
        <w:rPr>
          <w:rFonts w:asciiTheme="majorBidi" w:hAnsiTheme="majorBidi" w:cstheme="majorBidi"/>
          <w:sz w:val="24"/>
          <w:szCs w:val="24"/>
        </w:rPr>
      </w:pPr>
      <w:r w:rsidRPr="005756BB">
        <w:rPr>
          <w:rFonts w:asciiTheme="majorBidi" w:hAnsiTheme="majorBidi" w:cstheme="majorBidi"/>
          <w:sz w:val="24"/>
          <w:szCs w:val="24"/>
        </w:rPr>
        <w:t>Methods:</w:t>
      </w:r>
    </w:p>
    <w:p w:rsidR="00E6275A" w:rsidRPr="005756BB" w:rsidRDefault="008449F4">
      <w:pPr>
        <w:rPr>
          <w:rFonts w:asciiTheme="majorBidi" w:hAnsiTheme="majorBidi" w:cstheme="majorBidi"/>
          <w:sz w:val="24"/>
          <w:szCs w:val="24"/>
        </w:rPr>
      </w:pPr>
      <w:bookmarkStart w:id="0" w:name="_GoBack"/>
      <w:bookmarkEnd w:id="0"/>
      <w:r w:rsidRPr="005756BB">
        <w:rPr>
          <w:rFonts w:asciiTheme="majorBidi" w:hAnsiTheme="majorBidi" w:cstheme="majorBidi"/>
          <w:sz w:val="24"/>
          <w:szCs w:val="24"/>
        </w:rPr>
        <w:t>Forty-two</w:t>
      </w:r>
      <w:r w:rsidR="00E6275A" w:rsidRPr="005756BB">
        <w:rPr>
          <w:rFonts w:asciiTheme="majorBidi" w:hAnsiTheme="majorBidi" w:cstheme="majorBidi"/>
          <w:sz w:val="24"/>
          <w:szCs w:val="24"/>
        </w:rPr>
        <w:t xml:space="preserve"> patients with acute upper extremity DVT</w:t>
      </w:r>
      <w:r w:rsidR="00290CC3" w:rsidRPr="005756BB">
        <w:rPr>
          <w:rFonts w:asciiTheme="majorBidi" w:hAnsiTheme="majorBidi" w:cstheme="majorBidi"/>
          <w:sz w:val="24"/>
          <w:szCs w:val="24"/>
        </w:rPr>
        <w:t xml:space="preserve"> and anti-coagulation therapy from January 1</w:t>
      </w:r>
      <w:r w:rsidR="00290CC3" w:rsidRPr="005756BB">
        <w:rPr>
          <w:rFonts w:asciiTheme="majorBidi" w:hAnsiTheme="majorBidi" w:cstheme="majorBidi"/>
          <w:sz w:val="24"/>
          <w:szCs w:val="24"/>
          <w:vertAlign w:val="superscript"/>
        </w:rPr>
        <w:t>st</w:t>
      </w:r>
      <w:r w:rsidR="00290CC3" w:rsidRPr="005756BB">
        <w:rPr>
          <w:rFonts w:asciiTheme="majorBidi" w:hAnsiTheme="majorBidi" w:cstheme="majorBidi"/>
          <w:sz w:val="24"/>
          <w:szCs w:val="24"/>
        </w:rPr>
        <w:t xml:space="preserve"> 2014 to June 30</w:t>
      </w:r>
      <w:r w:rsidR="00290CC3" w:rsidRPr="005756BB">
        <w:rPr>
          <w:rFonts w:asciiTheme="majorBidi" w:hAnsiTheme="majorBidi" w:cstheme="majorBidi"/>
          <w:sz w:val="24"/>
          <w:szCs w:val="24"/>
          <w:vertAlign w:val="superscript"/>
        </w:rPr>
        <w:t>th</w:t>
      </w:r>
      <w:r w:rsidR="004561B7">
        <w:rPr>
          <w:rFonts w:asciiTheme="majorBidi" w:hAnsiTheme="majorBidi" w:cstheme="majorBidi"/>
          <w:sz w:val="24"/>
          <w:szCs w:val="24"/>
        </w:rPr>
        <w:t xml:space="preserve"> 2015. four</w:t>
      </w:r>
      <w:r w:rsidR="00290CC3" w:rsidRPr="005756BB">
        <w:rPr>
          <w:rFonts w:asciiTheme="majorBidi" w:hAnsiTheme="majorBidi" w:cstheme="majorBidi"/>
          <w:sz w:val="24"/>
          <w:szCs w:val="24"/>
        </w:rPr>
        <w:t xml:space="preserve"> patients und</w:t>
      </w:r>
      <w:r w:rsidR="008C75D6">
        <w:rPr>
          <w:rFonts w:asciiTheme="majorBidi" w:hAnsiTheme="majorBidi" w:cstheme="majorBidi"/>
          <w:sz w:val="24"/>
          <w:szCs w:val="24"/>
        </w:rPr>
        <w:t>erwent percutaneous placement of</w:t>
      </w:r>
      <w:r w:rsidR="00290CC3" w:rsidRPr="005756BB">
        <w:rPr>
          <w:rFonts w:asciiTheme="majorBidi" w:hAnsiTheme="majorBidi" w:cstheme="majorBidi"/>
          <w:sz w:val="24"/>
          <w:szCs w:val="24"/>
        </w:rPr>
        <w:t xml:space="preserve"> superior vena-cava filter for prevention against P.E</w:t>
      </w:r>
      <w:r w:rsidR="008C75D6">
        <w:rPr>
          <w:rFonts w:asciiTheme="majorBidi" w:hAnsiTheme="majorBidi" w:cstheme="majorBidi"/>
          <w:sz w:val="24"/>
          <w:szCs w:val="24"/>
        </w:rPr>
        <w:t xml:space="preserve"> as were contra-indicated anti-coagulation</w:t>
      </w:r>
      <w:r w:rsidR="00290CC3" w:rsidRPr="005756BB">
        <w:rPr>
          <w:rFonts w:asciiTheme="majorBidi" w:hAnsiTheme="majorBidi" w:cstheme="majorBidi"/>
          <w:sz w:val="24"/>
          <w:szCs w:val="24"/>
        </w:rPr>
        <w:t>. Follow-up chest radio</w:t>
      </w:r>
      <w:r w:rsidR="005756BB" w:rsidRPr="005756BB">
        <w:rPr>
          <w:rFonts w:asciiTheme="majorBidi" w:hAnsiTheme="majorBidi" w:cstheme="majorBidi"/>
          <w:sz w:val="24"/>
          <w:szCs w:val="24"/>
        </w:rPr>
        <w:t>graphs were used to detect filter migration, dislodgment and fracture. Pulmonary pressure after filter insertion was recorded. Patients were followed-up clinically for evidence of superior vena-cava syndrome and P.E.</w:t>
      </w:r>
    </w:p>
    <w:p w:rsidR="005756BB" w:rsidRPr="005756BB" w:rsidRDefault="005756BB">
      <w:pPr>
        <w:rPr>
          <w:rFonts w:asciiTheme="majorBidi" w:hAnsiTheme="majorBidi" w:cstheme="majorBidi"/>
          <w:sz w:val="24"/>
          <w:szCs w:val="24"/>
        </w:rPr>
      </w:pPr>
      <w:r w:rsidRPr="005756BB">
        <w:rPr>
          <w:rFonts w:asciiTheme="majorBidi" w:hAnsiTheme="majorBidi" w:cstheme="majorBidi"/>
          <w:sz w:val="24"/>
          <w:szCs w:val="24"/>
        </w:rPr>
        <w:t>Results:</w:t>
      </w:r>
    </w:p>
    <w:p w:rsidR="005756BB" w:rsidRPr="005756BB" w:rsidRDefault="005756BB">
      <w:pPr>
        <w:rPr>
          <w:rFonts w:asciiTheme="majorBidi" w:hAnsiTheme="majorBidi" w:cstheme="majorBidi"/>
          <w:sz w:val="24"/>
          <w:szCs w:val="24"/>
        </w:rPr>
      </w:pPr>
      <w:r w:rsidRPr="005756BB">
        <w:rPr>
          <w:rFonts w:asciiTheme="majorBidi" w:hAnsiTheme="majorBidi" w:cstheme="majorBidi"/>
          <w:sz w:val="24"/>
          <w:szCs w:val="24"/>
        </w:rPr>
        <w:t>No complications such as filter migration, dislodgment and fracture occurred (median follow-up 12 weeks). No patients developed clinical evidence of P.E or superior vena-cava syndrome (median follow-up 15 weeks).</w:t>
      </w:r>
    </w:p>
    <w:p w:rsidR="005756BB" w:rsidRPr="005756BB" w:rsidRDefault="005756BB">
      <w:pPr>
        <w:rPr>
          <w:rFonts w:asciiTheme="majorBidi" w:hAnsiTheme="majorBidi" w:cstheme="majorBidi"/>
          <w:sz w:val="24"/>
          <w:szCs w:val="24"/>
        </w:rPr>
      </w:pPr>
      <w:r w:rsidRPr="005756BB">
        <w:rPr>
          <w:rFonts w:asciiTheme="majorBidi" w:hAnsiTheme="majorBidi" w:cstheme="majorBidi"/>
          <w:sz w:val="24"/>
          <w:szCs w:val="24"/>
        </w:rPr>
        <w:t>Conclusion:</w:t>
      </w:r>
    </w:p>
    <w:p w:rsidR="005756BB" w:rsidRPr="005756BB" w:rsidRDefault="005756BB">
      <w:pPr>
        <w:rPr>
          <w:rFonts w:asciiTheme="majorBidi" w:hAnsiTheme="majorBidi" w:cstheme="majorBidi"/>
          <w:sz w:val="24"/>
          <w:szCs w:val="24"/>
        </w:rPr>
      </w:pPr>
      <w:r w:rsidRPr="005756BB">
        <w:rPr>
          <w:rFonts w:asciiTheme="majorBidi" w:hAnsiTheme="majorBidi" w:cstheme="majorBidi"/>
          <w:sz w:val="24"/>
          <w:szCs w:val="24"/>
        </w:rPr>
        <w:t>Percutaneous filter placement in superior vena-cava is a safe and effective method in prevention of symptomatic P.E due to acute upper extremity DVT</w:t>
      </w:r>
    </w:p>
    <w:sectPr w:rsidR="005756BB" w:rsidRPr="00575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483"/>
    <w:rsid w:val="000839BD"/>
    <w:rsid w:val="00290CC3"/>
    <w:rsid w:val="004561B7"/>
    <w:rsid w:val="004812EC"/>
    <w:rsid w:val="005756BB"/>
    <w:rsid w:val="0071506A"/>
    <w:rsid w:val="008449F4"/>
    <w:rsid w:val="008A21A0"/>
    <w:rsid w:val="008C75D6"/>
    <w:rsid w:val="008D4483"/>
    <w:rsid w:val="00BB1469"/>
    <w:rsid w:val="00E6275A"/>
    <w:rsid w:val="00E82B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793102-F2A1-4AE4-9B2D-8F76558AE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Sohiel</dc:creator>
  <cp:keywords/>
  <dc:description/>
  <cp:lastModifiedBy>Sohiel Ayman</cp:lastModifiedBy>
  <cp:revision>13</cp:revision>
  <dcterms:created xsi:type="dcterms:W3CDTF">2017-01-09T16:01:00Z</dcterms:created>
  <dcterms:modified xsi:type="dcterms:W3CDTF">2019-09-19T13:49:00Z</dcterms:modified>
</cp:coreProperties>
</file>