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F79E3" w14:textId="671F8ABA" w:rsidR="00FD4411" w:rsidRDefault="00407A07" w:rsidP="00FD4411">
      <w:pPr>
        <w:pStyle w:val="1"/>
        <w:spacing w:before="170"/>
        <w:ind w:left="0"/>
      </w:pPr>
      <w:r w:rsidRPr="00407A07">
        <w:rPr>
          <w:color w:val="337AB7"/>
        </w:rPr>
        <w:t>Is the Specific Antibody Titer a Benchmark for Vaccine Efficacy?</w:t>
      </w:r>
    </w:p>
    <w:p w14:paraId="7903E67B" w14:textId="2DC37C22" w:rsidR="00FD4411" w:rsidRDefault="00CD46DB" w:rsidP="00BB5ED8">
      <w:pPr>
        <w:pStyle w:val="a4"/>
        <w:tabs>
          <w:tab w:val="left" w:pos="4680"/>
        </w:tabs>
        <w:spacing w:before="73" w:line="198" w:lineRule="exact"/>
        <w:ind w:left="100" w:right="5987"/>
        <w:rPr>
          <w:rFonts w:ascii="Arial"/>
        </w:rPr>
      </w:pPr>
      <w:r>
        <w:rPr>
          <w:rFonts w:ascii="Arial"/>
        </w:rPr>
        <w:t xml:space="preserve">Alexander N. Suvorov, </w:t>
      </w:r>
      <w:r w:rsidR="00FD4411">
        <w:rPr>
          <w:rFonts w:ascii="Arial"/>
        </w:rPr>
        <w:t xml:space="preserve"> </w:t>
      </w:r>
      <w:r w:rsidR="00BB5ED8">
        <w:rPr>
          <w:rFonts w:ascii="Arial"/>
        </w:rPr>
        <w:t xml:space="preserve">Galina </w:t>
      </w:r>
      <w:r w:rsidR="00BB5ED8">
        <w:t>Leontieva</w:t>
      </w:r>
      <w:r w:rsidR="00BB5ED8" w:rsidRPr="003941CF">
        <w:t xml:space="preserve">., </w:t>
      </w:r>
      <w:r w:rsidR="00BB5ED8">
        <w:t xml:space="preserve">Tatiana </w:t>
      </w:r>
      <w:r w:rsidR="00BB5ED8" w:rsidRPr="003941CF">
        <w:t xml:space="preserve">Gupalova, </w:t>
      </w:r>
      <w:r w:rsidR="00DA616E">
        <w:rPr>
          <w:rFonts w:ascii="Calibri" w:hAnsi="Calibri" w:cs="Calibri"/>
        </w:rPr>
        <w:t xml:space="preserve">Danyang Guo, </w:t>
      </w:r>
      <w:r w:rsidR="00BB5ED8" w:rsidRPr="003941CF">
        <w:t>T</w:t>
      </w:r>
      <w:r w:rsidR="00DA616E">
        <w:t>atiana</w:t>
      </w:r>
      <w:r w:rsidR="00BB5ED8">
        <w:t xml:space="preserve"> Kramskaya</w:t>
      </w:r>
      <w:r w:rsidR="00BB5ED8" w:rsidRPr="003941CF">
        <w:t>.,</w:t>
      </w:r>
      <w:r w:rsidR="00BB5ED8">
        <w:t xml:space="preserve"> Yulia Desheva, Institute for Experimental Medicine, Saint-Petersburg,  Russian Federation</w:t>
      </w:r>
      <w:r w:rsidR="00FD4411">
        <w:rPr>
          <w:rFonts w:ascii="Arial"/>
        </w:rPr>
        <w:t xml:space="preserve"> </w:t>
      </w:r>
    </w:p>
    <w:p w14:paraId="25AE07FA" w14:textId="77777777" w:rsidR="00FD4411" w:rsidRDefault="00FD4411" w:rsidP="00FD4411">
      <w:pPr>
        <w:pStyle w:val="a4"/>
        <w:rPr>
          <w:rFonts w:ascii="Arial"/>
          <w:sz w:val="20"/>
        </w:rPr>
      </w:pPr>
    </w:p>
    <w:p w14:paraId="2074CF13" w14:textId="77777777" w:rsidR="00FD4411" w:rsidRDefault="00FD4411" w:rsidP="00FD4411">
      <w:pPr>
        <w:pStyle w:val="a4"/>
        <w:spacing w:before="3"/>
        <w:rPr>
          <w:rFonts w:ascii="Arial"/>
          <w:sz w:val="21"/>
        </w:rPr>
      </w:pP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77777777" w:rsidR="00FD4411" w:rsidRDefault="00FD4411" w:rsidP="00FD4411">
      <w:pPr>
        <w:pStyle w:val="3"/>
        <w:spacing w:before="147"/>
        <w:jc w:val="both"/>
      </w:pPr>
      <w:r>
        <w:rPr>
          <w:color w:val="BF5A14"/>
        </w:rPr>
        <w:t>Abstract (300 word limit)</w:t>
      </w:r>
    </w:p>
    <w:p w14:paraId="183645B5" w14:textId="77777777" w:rsidR="0094115E" w:rsidRDefault="0094115E" w:rsidP="0094115E">
      <w:pPr>
        <w:pStyle w:val="a4"/>
        <w:spacing w:before="90" w:line="278" w:lineRule="auto"/>
        <w:ind w:left="100"/>
      </w:pPr>
      <w:r>
        <w:t xml:space="preserve">The criteria underpinning the effective assessment of novel vaccine efficacy remain far from self-evident. For instance, a prevailing general concept posits a direct correlation between specific IgG titers in the bloodstream and the protective efficacy of the vaccine. Nevertheless, concurrently, the adverse consequences stemming from an excessive humoral immune response have been documented. </w:t>
      </w:r>
    </w:p>
    <w:p w14:paraId="751CDFCE" w14:textId="77777777" w:rsidR="0094115E" w:rsidRDefault="0094115E" w:rsidP="0094115E">
      <w:pPr>
        <w:pStyle w:val="a4"/>
        <w:spacing w:before="90" w:line="278" w:lineRule="auto"/>
        <w:ind w:left="100"/>
      </w:pPr>
      <w:r>
        <w:t>Study presents two vaccination strategies of delivery of recombinant antigens: parenteral administration of protein and oral</w:t>
      </w:r>
      <w:r w:rsidRPr="00824036">
        <w:rPr>
          <w:rFonts w:asciiTheme="minorHAnsi" w:hAnsiTheme="minorHAnsi"/>
        </w:rPr>
        <w:t xml:space="preserve"> </w:t>
      </w:r>
      <w:r>
        <w:t xml:space="preserve">administration of the antigen as integral components of live probiotic vaccines. Investigation has been directed towards both viral and bacterial antigenic targets, encompassing the S1 protein of the coronavirus and the recombinant chimeric protein PSP derived from three surface proteins of S.pneumoniae. These very antigens were introduced through injection of recombinant proteins or by means of live oral probiotic vaccines with vaccine antigens expressed on the bacterial surface. </w:t>
      </w:r>
    </w:p>
    <w:p w14:paraId="6FC2E4BC" w14:textId="77777777" w:rsidR="0094115E" w:rsidRDefault="0094115E" w:rsidP="0094115E">
      <w:pPr>
        <w:pStyle w:val="a4"/>
        <w:spacing w:before="90" w:line="278" w:lineRule="auto"/>
        <w:ind w:left="100"/>
      </w:pPr>
      <w:r>
        <w:t>S1 protein was evaluated using Syrian hamster model of coronavirus infection and analysis of protective efficacy against</w:t>
      </w:r>
    </w:p>
    <w:p w14:paraId="22CDE6BA" w14:textId="5AB3A757" w:rsidR="0094115E" w:rsidRDefault="0094115E" w:rsidP="0094115E">
      <w:pPr>
        <w:pStyle w:val="a4"/>
        <w:spacing w:before="90" w:line="278" w:lineRule="auto"/>
        <w:ind w:left="100"/>
      </w:pPr>
      <w:r>
        <w:t>pneumococcal infection was carried out using Balb/c mice. The dynamics of the humoral immune response during vaccination, the kinetics of pathogen clearance post-infection, the histological assessment of lung tissue condition in infected animals, and the cytokine response dynamics throughout the infection process were investigated. In both experimental models, it was noted that the humoral-specific IgG immune response exhibited a significantly augmented magnitude with the parenteral antigen delivery approach. Intriguingly, the protective efficacy of the vaccines showed no variance between the two delivery modalities. Histological examinations indicated that animals vaccinated with live vaccines displayed minimal pulmonary tissue damage compared to their parenteral counterparts. Drawing upon these observations, the potential utility of harnessing live probiotic vaccines is deliberated, grounded in their comparable efficacy, profile, and the procedural simplicity of vaccination. This study elucidates the potential of a vaccine strategy that harmonizes consideratio</w:t>
      </w:r>
      <w:r w:rsidR="00DA616E">
        <w:t>ns of immunogenicity and safety.</w:t>
      </w:r>
    </w:p>
    <w:p w14:paraId="0132F74E" w14:textId="7414C7FC" w:rsidR="00EC5545" w:rsidRDefault="00EC5545" w:rsidP="0094115E">
      <w:pPr>
        <w:pStyle w:val="a4"/>
        <w:spacing w:before="90" w:line="278" w:lineRule="auto"/>
        <w:ind w:left="100"/>
      </w:pPr>
      <w:r w:rsidRPr="00EC5545">
        <w:t xml:space="preserve">Research funded by the Ministry of Science and Higher Education of the Russian Federation, </w:t>
      </w:r>
      <w:r w:rsidRPr="00EC5545">
        <w:rPr>
          <w:rFonts w:ascii="Arial" w:hAnsi="Arial" w:cs="Arial"/>
        </w:rPr>
        <w:t>№</w:t>
      </w:r>
      <w:r w:rsidRPr="00EC5545">
        <w:t>075-15-2022-302(20.04.2022)</w:t>
      </w:r>
    </w:p>
    <w:p w14:paraId="6C2F4CAD" w14:textId="090385EC" w:rsidR="00FD4411" w:rsidRDefault="00FD4411" w:rsidP="00FD4411">
      <w:pPr>
        <w:pStyle w:val="3"/>
        <w:spacing w:before="74"/>
      </w:pPr>
      <w:r>
        <w:rPr>
          <w:bCs w:val="0"/>
        </w:rPr>
        <w:br w:type="column"/>
      </w:r>
    </w:p>
    <w:p w14:paraId="6D9D842D" w14:textId="2FA31AE4" w:rsidR="00FD4411" w:rsidRDefault="00FD4411" w:rsidP="00FD4411">
      <w:pPr>
        <w:pStyle w:val="a4"/>
        <w:spacing w:before="2"/>
        <w:rPr>
          <w:rFonts w:ascii="Arial"/>
          <w:b/>
          <w:sz w:val="16"/>
        </w:rPr>
      </w:pPr>
    </w:p>
    <w:p w14:paraId="4EE4B1F3" w14:textId="4EDE80F0" w:rsidR="00FD4411" w:rsidRDefault="00FD4411" w:rsidP="00FD4411">
      <w:pPr>
        <w:spacing w:line="204" w:lineRule="exact"/>
        <w:rPr>
          <w:rFonts w:ascii="Arial"/>
          <w:b/>
          <w:sz w:val="20"/>
        </w:rPr>
      </w:pPr>
      <w:r>
        <w:rPr>
          <w:rFonts w:ascii="Arial"/>
          <w:b/>
          <w:color w:val="BF5A14"/>
          <w:sz w:val="20"/>
        </w:rPr>
        <w:br/>
        <w:t xml:space="preserve">Recent Publications </w:t>
      </w:r>
    </w:p>
    <w:p w14:paraId="159D4F70" w14:textId="77777777" w:rsidR="00BB5ED8" w:rsidRPr="00BB5ED8" w:rsidRDefault="00BB5ED8" w:rsidP="00BB5ED8">
      <w:pPr>
        <w:pStyle w:val="a9"/>
        <w:numPr>
          <w:ilvl w:val="0"/>
          <w:numId w:val="1"/>
        </w:numPr>
        <w:shd w:val="clear" w:color="auto" w:fill="FFFFFF"/>
        <w:spacing w:after="0" w:afterAutospacing="0" w:line="276" w:lineRule="auto"/>
        <w:jc w:val="both"/>
        <w:rPr>
          <w:rFonts w:ascii="Calibri" w:eastAsia="Calibri" w:hAnsi="Calibri" w:cs="Calibri"/>
          <w:sz w:val="18"/>
          <w:szCs w:val="22"/>
          <w:lang w:val="en-US" w:eastAsia="en-US"/>
        </w:rPr>
      </w:pPr>
      <w:r w:rsidRPr="00BB5ED8">
        <w:rPr>
          <w:rFonts w:ascii="Calibri" w:eastAsia="Calibri" w:hAnsi="Calibri" w:cs="Calibri"/>
          <w:sz w:val="18"/>
          <w:szCs w:val="22"/>
          <w:lang w:val="en-US" w:eastAsia="en-US"/>
        </w:rPr>
        <w:t>Stepanova, E.A. Immunogenicity and protective activity of recombinant influenza viruses expressing fragments of ScaAB lipoprotein of group B streptococci in a mouse model / E.A. Stepanova, I.N. Isakova-Sivak, V.A. Matyushenko, A.S. Matushkina, T.A. Smolonogina, S.A. Donina, G.F. Leontieva, A.N. Suvorov, L.G. Rudenko // Medical Academic Journal. — 2020. — Vol. 20, No. 3: 33-42.</w:t>
      </w:r>
    </w:p>
    <w:p w14:paraId="4EFD48CA" w14:textId="77777777" w:rsidR="00BB5ED8" w:rsidRPr="00BB5ED8" w:rsidRDefault="00BB5ED8" w:rsidP="00BB5ED8">
      <w:pPr>
        <w:pStyle w:val="a9"/>
        <w:numPr>
          <w:ilvl w:val="0"/>
          <w:numId w:val="1"/>
        </w:numPr>
        <w:shd w:val="clear" w:color="auto" w:fill="FFFFFF"/>
        <w:spacing w:after="0" w:afterAutospacing="0" w:line="276" w:lineRule="auto"/>
        <w:jc w:val="both"/>
        <w:rPr>
          <w:rFonts w:ascii="Calibri" w:eastAsia="Calibri" w:hAnsi="Calibri" w:cs="Calibri"/>
          <w:sz w:val="18"/>
          <w:szCs w:val="22"/>
          <w:lang w:val="en-US" w:eastAsia="en-US"/>
        </w:rPr>
      </w:pPr>
      <w:r w:rsidRPr="00BB5ED8">
        <w:rPr>
          <w:rFonts w:ascii="Calibri" w:eastAsia="Calibri" w:hAnsi="Calibri" w:cs="Calibri"/>
          <w:sz w:val="18"/>
          <w:szCs w:val="22"/>
          <w:lang w:val="en-US" w:eastAsia="en-US"/>
        </w:rPr>
        <w:t>Kramskaya, T. Combined immunization with attenuated live influenza vaccine and chimeric pneumococcal recombinant protein improves the outcome of virus-bacterial infection in mice  / T. Kramskaya, G. Leontieva, Y. Desheva, L. Rudenko, A. Suvorov // PLoS One. — 2019. — Vol. 14, No. 9: e0222148.</w:t>
      </w:r>
    </w:p>
    <w:p w14:paraId="65DE43B3" w14:textId="77777777" w:rsidR="00BB5ED8" w:rsidRPr="00BB5ED8" w:rsidRDefault="00BB5ED8" w:rsidP="00BB5ED8">
      <w:pPr>
        <w:pStyle w:val="a6"/>
        <w:widowControl/>
        <w:numPr>
          <w:ilvl w:val="0"/>
          <w:numId w:val="1"/>
        </w:numPr>
        <w:spacing w:before="0" w:line="276" w:lineRule="auto"/>
        <w:contextualSpacing/>
        <w:rPr>
          <w:sz w:val="18"/>
        </w:rPr>
      </w:pPr>
      <w:r w:rsidRPr="00BB5ED8">
        <w:rPr>
          <w:sz w:val="18"/>
        </w:rPr>
        <w:t>Desheva, Y. Mucosal vaccine based on attenuated influenza virus and the group B Streptococcus recombinant peptides protected mice from influenza and S. pneumoniae infections / Y. Desheva, G. Leontieva, T. Kramskaya, A. Suvorov // PLoS One. — 2019. — Vol. 14, No. 6: e0218544.</w:t>
      </w:r>
    </w:p>
    <w:p w14:paraId="1AD80D76" w14:textId="77777777" w:rsidR="00BB5ED8" w:rsidRPr="00BB5ED8" w:rsidRDefault="00BB5ED8" w:rsidP="00BB5ED8">
      <w:pPr>
        <w:pStyle w:val="a9"/>
        <w:numPr>
          <w:ilvl w:val="0"/>
          <w:numId w:val="1"/>
        </w:numPr>
        <w:shd w:val="clear" w:color="auto" w:fill="FFFFFF"/>
        <w:spacing w:after="0" w:afterAutospacing="0" w:line="276" w:lineRule="auto"/>
        <w:jc w:val="both"/>
        <w:rPr>
          <w:rFonts w:ascii="Calibri" w:eastAsia="Calibri" w:hAnsi="Calibri" w:cs="Calibri"/>
          <w:sz w:val="18"/>
          <w:szCs w:val="22"/>
          <w:lang w:val="en-US" w:eastAsia="en-US"/>
        </w:rPr>
      </w:pPr>
      <w:r w:rsidRPr="00BB5ED8">
        <w:rPr>
          <w:rFonts w:ascii="Calibri" w:eastAsia="Calibri" w:hAnsi="Calibri" w:cs="Calibri"/>
          <w:sz w:val="18"/>
          <w:szCs w:val="22"/>
          <w:lang w:val="en-US" w:eastAsia="en-US"/>
        </w:rPr>
        <w:t>Gupalova, T. Development of experimental pneumococcal vaccine for mucosal immunization. / T. Gupalova, G. Leontieva, T. Kramskaya, K. Grabovskaya, E. Kuleshevich, A. Suvorov // PLoS One.— 2019. — Vol. 14, No. 6: e0218679.</w:t>
      </w:r>
    </w:p>
    <w:p w14:paraId="40216E2F" w14:textId="77777777" w:rsidR="00BB5ED8" w:rsidRPr="00BB5ED8" w:rsidRDefault="00BB5ED8" w:rsidP="00BB5ED8">
      <w:pPr>
        <w:pStyle w:val="a9"/>
        <w:numPr>
          <w:ilvl w:val="0"/>
          <w:numId w:val="1"/>
        </w:numPr>
        <w:shd w:val="clear" w:color="auto" w:fill="FFFFFF"/>
        <w:spacing w:after="0" w:afterAutospacing="0" w:line="276" w:lineRule="auto"/>
        <w:jc w:val="both"/>
        <w:rPr>
          <w:rFonts w:ascii="Calibri" w:eastAsia="Calibri" w:hAnsi="Calibri" w:cs="Calibri"/>
          <w:sz w:val="18"/>
          <w:szCs w:val="22"/>
          <w:lang w:val="en-US" w:eastAsia="en-US"/>
        </w:rPr>
      </w:pPr>
      <w:r w:rsidRPr="00BB5ED8">
        <w:rPr>
          <w:rFonts w:ascii="Calibri" w:eastAsia="Calibri" w:hAnsi="Calibri" w:cs="Calibri"/>
          <w:sz w:val="18"/>
          <w:szCs w:val="22"/>
          <w:lang w:val="en-US" w:eastAsia="en-US"/>
        </w:rPr>
        <w:t>Laiño, J. Nasal immunization with recombinant chimeric pneumococcal protein and cell wall from immunobiotic bacteria improve resistance of infant mice to streptococcus pneumoniae infection / J. Laiño, J. Villena, H. Zelaya, R.O. Moyano, S. Salva, S. Alvarez, A. Suvorov // PLoS One. — 2018. — Vol. 13, No. 11: e0206661.</w:t>
      </w:r>
    </w:p>
    <w:p w14:paraId="7416468C" w14:textId="6BD173E1" w:rsidR="00BB5ED8" w:rsidRDefault="0094115E" w:rsidP="00FD4411">
      <w:pPr>
        <w:pStyle w:val="a6"/>
        <w:numPr>
          <w:ilvl w:val="0"/>
          <w:numId w:val="1"/>
        </w:numPr>
        <w:tabs>
          <w:tab w:val="left" w:pos="384"/>
        </w:tabs>
        <w:spacing w:before="103" w:line="216" w:lineRule="exact"/>
        <w:ind w:right="138" w:hanging="283"/>
        <w:rPr>
          <w:sz w:val="18"/>
        </w:rPr>
      </w:pPr>
      <w:r w:rsidRPr="0094115E">
        <w:rPr>
          <w:sz w:val="18"/>
        </w:rPr>
        <w:t>Suvorov A Construction of the Enterococcal Strain Expressing Immunogenic Fragment of SARS-Cov-2 Virus</w:t>
      </w:r>
      <w:r>
        <w:rPr>
          <w:sz w:val="18"/>
        </w:rPr>
        <w:t xml:space="preserve"> </w:t>
      </w:r>
      <w:r w:rsidRPr="0094115E">
        <w:rPr>
          <w:sz w:val="18"/>
        </w:rPr>
        <w:t>// Suvorov Alexander, Gupalova Tatiana, Desheva Yulia, Kramskaya Tatiana, Bormotova Elena, Koroleva Irina, Kopteva Olga, Leontieva Galina</w:t>
      </w:r>
      <w:r w:rsidR="00AE501E" w:rsidRPr="00AE501E">
        <w:rPr>
          <w:sz w:val="18"/>
        </w:rPr>
        <w:t>//</w:t>
      </w:r>
      <w:r w:rsidRPr="0094115E">
        <w:rPr>
          <w:sz w:val="18"/>
        </w:rPr>
        <w:t xml:space="preserve"> Frontiers in Pharmacology,    2022, 1</w:t>
      </w: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rsidSect="00BB5ED8">
          <w:type w:val="continuous"/>
          <w:pgSz w:w="11910" w:h="16840"/>
          <w:pgMar w:top="1740" w:right="600" w:bottom="840" w:left="620" w:header="720" w:footer="720" w:gutter="0"/>
          <w:cols w:num="2" w:space="360" w:equalWidth="0">
            <w:col w:w="5214" w:space="138"/>
            <w:col w:w="5338"/>
          </w:cols>
        </w:sectPr>
      </w:pPr>
    </w:p>
    <w:p w14:paraId="06E56219" w14:textId="77777777" w:rsidR="00FD4411" w:rsidRDefault="00FD4411" w:rsidP="00FD4411">
      <w:pPr>
        <w:pStyle w:val="a4"/>
        <w:rPr>
          <w:rFonts w:ascii="Calibri"/>
          <w:sz w:val="20"/>
        </w:rPr>
      </w:pPr>
    </w:p>
    <w:p w14:paraId="28F11759" w14:textId="77777777" w:rsidR="00FD4411" w:rsidRDefault="00FD4411" w:rsidP="00FD4411">
      <w:pPr>
        <w:pStyle w:val="a4"/>
        <w:spacing w:line="40" w:lineRule="exact"/>
        <w:ind w:left="2202"/>
        <w:rPr>
          <w:rFonts w:ascii="Calibri"/>
          <w:sz w:val="4"/>
        </w:rPr>
      </w:pPr>
      <w:r>
        <w:rPr>
          <w:noProof/>
          <w:lang w:val="ru-RU" w:eastAsia="ru-RU"/>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22D68BE1"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44198900" w14:textId="7B1B1DA0" w:rsidR="00FD4411" w:rsidRDefault="00FD4411" w:rsidP="00FD4411">
      <w:pPr>
        <w:spacing w:before="92"/>
        <w:ind w:right="4234"/>
        <w:rPr>
          <w:rFonts w:ascii="Arial"/>
        </w:rPr>
      </w:pPr>
      <w:r>
        <w:rPr>
          <w:noProof/>
        </w:rPr>
        <w:t xml:space="preserve">              </w:t>
      </w:r>
      <w:r w:rsidR="00824F5B">
        <w:rPr>
          <w:noProof/>
          <w:lang w:val="ru-RU" w:eastAsia="ru-RU"/>
        </w:rPr>
        <w:drawing>
          <wp:inline distT="0" distB="0" distL="0" distR="0" wp14:anchorId="79086899" wp14:editId="5AD1F375">
            <wp:extent cx="611945" cy="63726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sh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3975" cy="660202"/>
                    </a:xfrm>
                    <a:prstGeom prst="rect">
                      <a:avLst/>
                    </a:prstGeom>
                  </pic:spPr>
                </pic:pic>
              </a:graphicData>
            </a:graphic>
          </wp:inline>
        </w:drawing>
      </w:r>
      <w:r w:rsidR="00DA616E">
        <w:rPr>
          <w:noProof/>
        </w:rPr>
        <w:t xml:space="preserve"> </w:t>
      </w:r>
      <w:bookmarkStart w:id="0" w:name="_GoBack"/>
      <w:bookmarkEnd w:id="0"/>
      <w:r>
        <w:rPr>
          <w:rFonts w:ascii="Arial"/>
          <w:color w:val="BF5A14"/>
        </w:rPr>
        <w:t xml:space="preserve">Biography </w:t>
      </w:r>
    </w:p>
    <w:p w14:paraId="40A63139" w14:textId="2D24C4BF" w:rsidR="00AE501E" w:rsidRPr="00AE501E" w:rsidRDefault="00AE501E" w:rsidP="00AE501E">
      <w:pPr>
        <w:pStyle w:val="aa"/>
        <w:ind w:firstLine="0"/>
        <w:rPr>
          <w:rFonts w:ascii="Arial"/>
          <w:sz w:val="14"/>
        </w:rPr>
      </w:pPr>
      <w:r>
        <w:rPr>
          <w:rFonts w:ascii="Arial"/>
          <w:sz w:val="14"/>
        </w:rPr>
        <w:t>Alexander Suvorov is a specialist in m</w:t>
      </w:r>
      <w:r w:rsidRPr="00AE501E">
        <w:rPr>
          <w:rFonts w:ascii="Arial"/>
          <w:sz w:val="14"/>
        </w:rPr>
        <w:t>olecular microbiology, infections, cloning, genomics, vaccines, probiotics</w:t>
      </w:r>
      <w:r>
        <w:rPr>
          <w:rFonts w:ascii="Arial"/>
          <w:sz w:val="14"/>
        </w:rPr>
        <w:t xml:space="preserve"> and</w:t>
      </w:r>
      <w:r w:rsidRPr="00AE501E">
        <w:rPr>
          <w:rFonts w:ascii="Arial"/>
          <w:sz w:val="14"/>
        </w:rPr>
        <w:t xml:space="preserve"> bacterial therapies.</w:t>
      </w:r>
      <w:r>
        <w:rPr>
          <w:rFonts w:ascii="Arial"/>
          <w:sz w:val="14"/>
        </w:rPr>
        <w:t xml:space="preserve"> </w:t>
      </w:r>
      <w:r w:rsidRPr="00AE501E">
        <w:rPr>
          <w:rFonts w:ascii="Arial"/>
          <w:sz w:val="14"/>
        </w:rPr>
        <w:t xml:space="preserve">Participated in making </w:t>
      </w:r>
      <w:r>
        <w:rPr>
          <w:rFonts w:ascii="Arial"/>
          <w:sz w:val="14"/>
        </w:rPr>
        <w:t xml:space="preserve">first Streptococcal </w:t>
      </w:r>
      <w:r w:rsidRPr="00AE501E">
        <w:rPr>
          <w:rFonts w:ascii="Arial"/>
          <w:sz w:val="14"/>
        </w:rPr>
        <w:t>pyogenes genome analysis. (Ferretti et al 2001).</w:t>
      </w:r>
      <w:r>
        <w:rPr>
          <w:rFonts w:ascii="Arial"/>
          <w:sz w:val="14"/>
        </w:rPr>
        <w:t xml:space="preserve"> </w:t>
      </w:r>
      <w:r w:rsidRPr="00AE501E">
        <w:rPr>
          <w:rFonts w:ascii="Arial"/>
          <w:sz w:val="14"/>
        </w:rPr>
        <w:t xml:space="preserve">Established a protocol for S.pyogenes transformation (Suvorov et al. 1988). Developed and analyzed the features of </w:t>
      </w:r>
      <w:r>
        <w:rPr>
          <w:rFonts w:ascii="Arial"/>
          <w:sz w:val="14"/>
        </w:rPr>
        <w:t xml:space="preserve">novel </w:t>
      </w:r>
      <w:r w:rsidRPr="00AE501E">
        <w:rPr>
          <w:rFonts w:ascii="Arial"/>
          <w:sz w:val="14"/>
        </w:rPr>
        <w:t>enterococcal probiotics (Tarasova et al 2010)</w:t>
      </w:r>
      <w:r>
        <w:rPr>
          <w:rFonts w:ascii="Arial"/>
          <w:sz w:val="14"/>
        </w:rPr>
        <w:t xml:space="preserve">. </w:t>
      </w:r>
      <w:r w:rsidRPr="00AE501E">
        <w:rPr>
          <w:rFonts w:ascii="Arial"/>
          <w:sz w:val="14"/>
        </w:rPr>
        <w:t xml:space="preserve">Developed a technology of microbial therapy employing personal microbiota </w:t>
      </w:r>
      <w:r w:rsidRPr="00AE501E">
        <w:rPr>
          <w:rFonts w:ascii="Arial"/>
          <w:sz w:val="14"/>
        </w:rPr>
        <w:t>–</w:t>
      </w:r>
      <w:r w:rsidRPr="00AE501E">
        <w:rPr>
          <w:rFonts w:ascii="Arial"/>
          <w:sz w:val="14"/>
        </w:rPr>
        <w:t xml:space="preserve"> auto</w:t>
      </w:r>
      <w:r>
        <w:rPr>
          <w:rFonts w:ascii="Arial"/>
          <w:sz w:val="14"/>
        </w:rPr>
        <w:t>probiotics (Suvorov et al 2018) and generated a first biobank of auto-strains suitable for the treatment</w:t>
      </w:r>
      <w:r w:rsidRPr="00AE501E">
        <w:rPr>
          <w:rFonts w:ascii="Arial"/>
          <w:sz w:val="14"/>
        </w:rPr>
        <w:t xml:space="preserve"> </w:t>
      </w:r>
      <w:r>
        <w:rPr>
          <w:rFonts w:ascii="Arial"/>
          <w:sz w:val="14"/>
        </w:rPr>
        <w:t xml:space="preserve">of various health conditions. </w:t>
      </w:r>
      <w:r w:rsidRPr="00AE501E">
        <w:rPr>
          <w:rFonts w:ascii="Arial"/>
          <w:sz w:val="14"/>
        </w:rPr>
        <w:t>Developed technology of anti- bacterial and anti-viral vaccine employing probiotic vectors ( Gupalova et al, Leontieva et al, Suvorov et al 2018-2022)</w:t>
      </w:r>
      <w:r>
        <w:rPr>
          <w:rFonts w:ascii="Arial"/>
          <w:sz w:val="14"/>
        </w:rPr>
        <w:t>.</w:t>
      </w:r>
    </w:p>
    <w:p w14:paraId="05063D95" w14:textId="3A44B6B3" w:rsidR="00FD4411" w:rsidRDefault="00FD4411" w:rsidP="00824F5B">
      <w:pPr>
        <w:spacing w:before="62"/>
        <w:ind w:left="4217" w:right="4235"/>
        <w:jc w:val="center"/>
        <w:rPr>
          <w:rFonts w:ascii="Arial"/>
          <w:sz w:val="19"/>
        </w:rPr>
      </w:pPr>
      <w:r>
        <w:rPr>
          <w:rFonts w:ascii="Arial"/>
          <w:sz w:val="14"/>
        </w:rPr>
        <w:t xml:space="preserve">Email: </w:t>
      </w:r>
      <w:r>
        <w:rPr>
          <w:noProof/>
          <w:lang w:val="ru-RU" w:eastAsia="ru-RU"/>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3F94E0D"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sidR="00824F5B">
        <w:rPr>
          <w:rFonts w:ascii="Arial"/>
          <w:sz w:val="14"/>
        </w:rPr>
        <w:t>Alexander_suvorov1@hotmail.com</w:t>
      </w:r>
    </w:p>
    <w:p w14:paraId="5B753BEB" w14:textId="77777777" w:rsidR="00FD4411" w:rsidRDefault="00FD4411" w:rsidP="00FD4411">
      <w:pPr>
        <w:pStyle w:val="a4"/>
        <w:rPr>
          <w:rFonts w:ascii="Arial"/>
          <w:sz w:val="20"/>
        </w:rPr>
      </w:pPr>
    </w:p>
    <w:p w14:paraId="3B888874" w14:textId="77777777" w:rsidR="00FD4411" w:rsidRDefault="00FD4411" w:rsidP="00FD4411">
      <w:pPr>
        <w:pStyle w:val="a4"/>
        <w:rPr>
          <w:rFonts w:ascii="Arial"/>
          <w:sz w:val="20"/>
        </w:rPr>
      </w:pPr>
    </w:p>
    <w:p w14:paraId="7FE79B0F" w14:textId="77777777" w:rsidR="00FD4411" w:rsidRDefault="00FD4411" w:rsidP="00FD4411">
      <w:pPr>
        <w:pStyle w:val="a4"/>
        <w:spacing w:before="7"/>
        <w:rPr>
          <w:rFonts w:ascii="Arial"/>
          <w:sz w:val="29"/>
        </w:rPr>
      </w:pPr>
    </w:p>
    <w:p w14:paraId="7334953E" w14:textId="77777777" w:rsidR="00FD4411" w:rsidRDefault="00FD4411" w:rsidP="00FD4411">
      <w:pPr>
        <w:spacing w:before="39"/>
        <w:ind w:left="100"/>
        <w:rPr>
          <w:rFonts w:ascii="Minion Pro"/>
          <w:b/>
          <w:sz w:val="20"/>
        </w:rPr>
      </w:pPr>
      <w:r>
        <w:rPr>
          <w:rFonts w:ascii="Minion Pro"/>
          <w:b/>
          <w:sz w:val="20"/>
        </w:rPr>
        <w:t>Notes/Comments:</w:t>
      </w:r>
    </w:p>
    <w:p w14:paraId="434E6309" w14:textId="77777777"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14:paraId="313A1F52" w14:textId="77777777" w:rsidR="00FD4411" w:rsidRDefault="00FD4411" w:rsidP="00FD4411">
      <w:pPr>
        <w:pStyle w:val="a4"/>
        <w:spacing w:before="3"/>
        <w:rPr>
          <w:rFonts w:ascii="Minion Pro"/>
          <w:sz w:val="26"/>
        </w:rPr>
      </w:pPr>
    </w:p>
    <w:p w14:paraId="1DD05878" w14:textId="77777777" w:rsidR="00B77E33" w:rsidRDefault="00B77E33"/>
    <w:sectPr w:rsidR="00B77E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599FE" w14:textId="77777777" w:rsidR="005210FC" w:rsidRDefault="005210FC" w:rsidP="00CB0F7A">
      <w:r>
        <w:separator/>
      </w:r>
    </w:p>
  </w:endnote>
  <w:endnote w:type="continuationSeparator" w:id="0">
    <w:p w14:paraId="74C501C1" w14:textId="77777777" w:rsidR="005210FC" w:rsidRDefault="005210FC" w:rsidP="00CB0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81E24" w14:textId="77777777" w:rsidR="005210FC" w:rsidRDefault="005210FC" w:rsidP="00CB0F7A">
      <w:r>
        <w:separator/>
      </w:r>
    </w:p>
  </w:footnote>
  <w:footnote w:type="continuationSeparator" w:id="0">
    <w:p w14:paraId="4FE0AA08" w14:textId="77777777" w:rsidR="005210FC" w:rsidRDefault="005210FC" w:rsidP="00CB0F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B7757"/>
    <w:multiLevelType w:val="hybridMultilevel"/>
    <w:tmpl w:val="830249B0"/>
    <w:lvl w:ilvl="0" w:tplc="5EBEF33A">
      <w:start w:val="1"/>
      <w:numFmt w:val="decimal"/>
      <w:lvlText w:val="%1."/>
      <w:lvlJc w:val="left"/>
      <w:pPr>
        <w:ind w:left="1070" w:hanging="360"/>
      </w:pPr>
      <w:rPr>
        <w:rFonts w:cs="Times New Roman" w:hint="default"/>
        <w:lang w:val="en-US"/>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407A07"/>
    <w:rsid w:val="00434EE7"/>
    <w:rsid w:val="00492347"/>
    <w:rsid w:val="00504F4E"/>
    <w:rsid w:val="005210FC"/>
    <w:rsid w:val="00824042"/>
    <w:rsid w:val="00824F5B"/>
    <w:rsid w:val="0094115E"/>
    <w:rsid w:val="00AE501E"/>
    <w:rsid w:val="00B77E33"/>
    <w:rsid w:val="00BB5ED8"/>
    <w:rsid w:val="00CB0F7A"/>
    <w:rsid w:val="00CD46DB"/>
    <w:rsid w:val="00D275EB"/>
    <w:rsid w:val="00DA616E"/>
    <w:rsid w:val="00EC5545"/>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40587"/>
  <w15:docId w15:val="{29B9ABD6-CF98-4777-B75C-8D9517D2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D4411"/>
    <w:pPr>
      <w:widowControl w:val="0"/>
      <w:spacing w:after="0" w:line="240" w:lineRule="auto"/>
    </w:pPr>
    <w:rPr>
      <w:rFonts w:ascii="Tw Cen MT" w:eastAsia="Tw Cen MT" w:hAnsi="Tw Cen MT" w:cs="Tw Cen MT"/>
      <w:lang w:val="en-US"/>
    </w:rPr>
  </w:style>
  <w:style w:type="paragraph" w:styleId="1">
    <w:name w:val="heading 1"/>
    <w:basedOn w:val="a"/>
    <w:link w:val="10"/>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semiHidden/>
    <w:unhideWhenUsed/>
    <w:qFormat/>
    <w:rsid w:val="00FD4411"/>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D4411"/>
    <w:rPr>
      <w:rFonts w:ascii="Minion Pro" w:eastAsia="Minion Pro" w:hAnsi="Minion Pro" w:cs="Minion Pro"/>
      <w:b/>
      <w:bCs/>
      <w:sz w:val="36"/>
      <w:szCs w:val="36"/>
      <w:lang w:val="en-US"/>
    </w:rPr>
  </w:style>
  <w:style w:type="character" w:customStyle="1" w:styleId="30">
    <w:name w:val="Заголовок 3 Знак"/>
    <w:basedOn w:val="a0"/>
    <w:link w:val="3"/>
    <w:uiPriority w:val="1"/>
    <w:semiHidden/>
    <w:rsid w:val="00FD4411"/>
    <w:rPr>
      <w:rFonts w:ascii="Arial" w:eastAsia="Arial" w:hAnsi="Arial" w:cs="Arial"/>
      <w:b/>
      <w:bCs/>
      <w:sz w:val="20"/>
      <w:szCs w:val="20"/>
      <w:lang w:val="en-US"/>
    </w:rPr>
  </w:style>
  <w:style w:type="character" w:styleId="a3">
    <w:name w:val="Hyperlink"/>
    <w:basedOn w:val="a0"/>
    <w:uiPriority w:val="99"/>
    <w:semiHidden/>
    <w:unhideWhenUsed/>
    <w:rsid w:val="00FD4411"/>
    <w:rPr>
      <w:color w:val="0000FF" w:themeColor="hyperlink"/>
      <w:u w:val="single"/>
    </w:rPr>
  </w:style>
  <w:style w:type="paragraph" w:styleId="a4">
    <w:name w:val="Body Text"/>
    <w:basedOn w:val="a"/>
    <w:link w:val="a5"/>
    <w:uiPriority w:val="1"/>
    <w:semiHidden/>
    <w:unhideWhenUsed/>
    <w:qFormat/>
    <w:rsid w:val="00FD4411"/>
    <w:rPr>
      <w:sz w:val="18"/>
      <w:szCs w:val="18"/>
    </w:rPr>
  </w:style>
  <w:style w:type="character" w:customStyle="1" w:styleId="a5">
    <w:name w:val="Основной текст Знак"/>
    <w:basedOn w:val="a0"/>
    <w:link w:val="a4"/>
    <w:uiPriority w:val="1"/>
    <w:semiHidden/>
    <w:rsid w:val="00FD4411"/>
    <w:rPr>
      <w:rFonts w:ascii="Tw Cen MT" w:eastAsia="Tw Cen MT" w:hAnsi="Tw Cen MT" w:cs="Tw Cen MT"/>
      <w:sz w:val="18"/>
      <w:szCs w:val="18"/>
      <w:lang w:val="en-US"/>
    </w:rPr>
  </w:style>
  <w:style w:type="paragraph" w:styleId="a6">
    <w:name w:val="List Paragraph"/>
    <w:basedOn w:val="a"/>
    <w:uiPriority w:val="99"/>
    <w:qFormat/>
    <w:rsid w:val="00FD4411"/>
    <w:pPr>
      <w:spacing w:before="90" w:line="200" w:lineRule="exact"/>
      <w:ind w:left="383" w:hanging="283"/>
      <w:jc w:val="both"/>
    </w:pPr>
    <w:rPr>
      <w:rFonts w:ascii="Calibri" w:eastAsia="Calibri" w:hAnsi="Calibri" w:cs="Calibri"/>
    </w:rPr>
  </w:style>
  <w:style w:type="paragraph" w:styleId="a7">
    <w:name w:val="Balloon Text"/>
    <w:basedOn w:val="a"/>
    <w:link w:val="a8"/>
    <w:uiPriority w:val="99"/>
    <w:semiHidden/>
    <w:unhideWhenUsed/>
    <w:rsid w:val="00FD4411"/>
    <w:rPr>
      <w:rFonts w:ascii="Tahoma" w:hAnsi="Tahoma" w:cs="Tahoma"/>
      <w:sz w:val="16"/>
      <w:szCs w:val="16"/>
    </w:rPr>
  </w:style>
  <w:style w:type="character" w:customStyle="1" w:styleId="a8">
    <w:name w:val="Текст выноски Знак"/>
    <w:basedOn w:val="a0"/>
    <w:link w:val="a7"/>
    <w:uiPriority w:val="99"/>
    <w:semiHidden/>
    <w:rsid w:val="00FD4411"/>
    <w:rPr>
      <w:rFonts w:ascii="Tahoma" w:eastAsia="Tw Cen MT" w:hAnsi="Tahoma" w:cs="Tahoma"/>
      <w:sz w:val="16"/>
      <w:szCs w:val="16"/>
      <w:lang w:val="en-US"/>
    </w:rPr>
  </w:style>
  <w:style w:type="paragraph" w:styleId="a9">
    <w:name w:val="Normal (Web)"/>
    <w:basedOn w:val="a"/>
    <w:uiPriority w:val="99"/>
    <w:unhideWhenUsed/>
    <w:rsid w:val="00BB5ED8"/>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styleId="aa">
    <w:name w:val="List"/>
    <w:basedOn w:val="a"/>
    <w:rsid w:val="00AE501E"/>
    <w:pPr>
      <w:widowControl/>
      <w:ind w:left="283" w:hanging="283"/>
    </w:pPr>
    <w:rPr>
      <w:rFonts w:ascii="Times New Roman" w:eastAsia="Times New Roman" w:hAnsi="Times New Roman" w:cs="Times New Roman"/>
      <w:sz w:val="24"/>
      <w:szCs w:val="20"/>
    </w:rPr>
  </w:style>
  <w:style w:type="paragraph" w:styleId="ab">
    <w:name w:val="header"/>
    <w:basedOn w:val="a"/>
    <w:link w:val="ac"/>
    <w:uiPriority w:val="99"/>
    <w:unhideWhenUsed/>
    <w:rsid w:val="00CB0F7A"/>
    <w:pPr>
      <w:tabs>
        <w:tab w:val="center" w:pos="4677"/>
        <w:tab w:val="right" w:pos="9355"/>
      </w:tabs>
    </w:pPr>
  </w:style>
  <w:style w:type="character" w:customStyle="1" w:styleId="ac">
    <w:name w:val="Верхний колонтитул Знак"/>
    <w:basedOn w:val="a0"/>
    <w:link w:val="ab"/>
    <w:uiPriority w:val="99"/>
    <w:rsid w:val="00CB0F7A"/>
    <w:rPr>
      <w:rFonts w:ascii="Tw Cen MT" w:eastAsia="Tw Cen MT" w:hAnsi="Tw Cen MT" w:cs="Tw Cen MT"/>
      <w:lang w:val="en-US"/>
    </w:rPr>
  </w:style>
  <w:style w:type="paragraph" w:styleId="ad">
    <w:name w:val="footer"/>
    <w:basedOn w:val="a"/>
    <w:link w:val="ae"/>
    <w:uiPriority w:val="99"/>
    <w:unhideWhenUsed/>
    <w:rsid w:val="00CB0F7A"/>
    <w:pPr>
      <w:tabs>
        <w:tab w:val="center" w:pos="4677"/>
        <w:tab w:val="right" w:pos="9355"/>
      </w:tabs>
    </w:pPr>
  </w:style>
  <w:style w:type="character" w:customStyle="1" w:styleId="ae">
    <w:name w:val="Нижний колонтитул Знак"/>
    <w:basedOn w:val="a0"/>
    <w:link w:val="ad"/>
    <w:uiPriority w:val="99"/>
    <w:rsid w:val="00CB0F7A"/>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55815-62A2-4335-822B-3D5C001C2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4506</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Учетная запись Майкрософт</cp:lastModifiedBy>
  <cp:revision>2</cp:revision>
  <dcterms:created xsi:type="dcterms:W3CDTF">2023-09-01T12:52:00Z</dcterms:created>
  <dcterms:modified xsi:type="dcterms:W3CDTF">2023-09-01T12:52:00Z</dcterms:modified>
</cp:coreProperties>
</file>