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C8BCE2" w14:textId="0ECEB8FA" w:rsidR="00E93AB3" w:rsidRDefault="00D17536" w:rsidP="00E93AB3">
      <w:pPr>
        <w:jc w:val="center"/>
        <w:rPr>
          <w:rFonts w:ascii="Times New Roman" w:hAnsi="Times New Roman" w:cs="Times New Roman"/>
          <w:b/>
          <w:sz w:val="28"/>
          <w:szCs w:val="28"/>
        </w:rPr>
      </w:pPr>
      <w:r w:rsidRPr="00D17536">
        <w:rPr>
          <w:rFonts w:ascii="Times New Roman" w:hAnsi="Times New Roman" w:cs="Times New Roman"/>
          <w:b/>
          <w:sz w:val="28"/>
          <w:szCs w:val="28"/>
        </w:rPr>
        <w:t>Abstract</w:t>
      </w:r>
    </w:p>
    <w:p w14:paraId="42C6D6C5" w14:textId="2DAD651B" w:rsidR="00AC4D54" w:rsidRPr="00AC4D54" w:rsidRDefault="00AC4D54" w:rsidP="00AC4D54">
      <w:pPr>
        <w:autoSpaceDE w:val="0"/>
        <w:autoSpaceDN w:val="0"/>
        <w:adjustRightInd w:val="0"/>
        <w:spacing w:after="0" w:line="240" w:lineRule="auto"/>
        <w:rPr>
          <w:rFonts w:ascii="Times New Roman" w:hAnsi="Times New Roman" w:cs="Times New Roman"/>
          <w:color w:val="0F243E" w:themeColor="text2" w:themeShade="80"/>
          <w:sz w:val="32"/>
          <w:szCs w:val="32"/>
        </w:rPr>
      </w:pPr>
      <w:r w:rsidRPr="00AC4D54">
        <w:rPr>
          <w:rFonts w:ascii="PTSerif-Bold" w:hAnsi="PTSerif-Bold" w:cs="PTSerif-Bold"/>
          <w:b/>
          <w:bCs/>
          <w:color w:val="0F243E" w:themeColor="text2" w:themeShade="80"/>
          <w:sz w:val="32"/>
          <w:szCs w:val="32"/>
          <w:lang w:val="en-GB"/>
        </w:rPr>
        <w:t xml:space="preserve">A Comparison </w:t>
      </w:r>
      <w:r w:rsidR="00D45E24" w:rsidRPr="00AC4D54">
        <w:rPr>
          <w:rFonts w:ascii="PTSerif-Bold" w:hAnsi="PTSerif-Bold" w:cs="PTSerif-Bold"/>
          <w:b/>
          <w:bCs/>
          <w:color w:val="0F243E" w:themeColor="text2" w:themeShade="80"/>
          <w:sz w:val="32"/>
          <w:szCs w:val="32"/>
          <w:lang w:val="en-GB"/>
        </w:rPr>
        <w:t>between</w:t>
      </w:r>
      <w:r w:rsidRPr="00AC4D54">
        <w:rPr>
          <w:rFonts w:ascii="PTSerif-Bold" w:hAnsi="PTSerif-Bold" w:cs="PTSerif-Bold"/>
          <w:b/>
          <w:bCs/>
          <w:color w:val="0F243E" w:themeColor="text2" w:themeShade="80"/>
          <w:sz w:val="32"/>
          <w:szCs w:val="32"/>
          <w:lang w:val="en-GB"/>
        </w:rPr>
        <w:t xml:space="preserve"> the Postoperative</w:t>
      </w:r>
      <w:r>
        <w:rPr>
          <w:rFonts w:ascii="PTSerif-Bold" w:hAnsi="PTSerif-Bold" w:cs="PTSerif-Bold"/>
          <w:b/>
          <w:bCs/>
          <w:color w:val="0F243E" w:themeColor="text2" w:themeShade="80"/>
          <w:sz w:val="32"/>
          <w:szCs w:val="32"/>
          <w:lang w:val="en-GB"/>
        </w:rPr>
        <w:t xml:space="preserve"> </w:t>
      </w:r>
      <w:r w:rsidRPr="00AC4D54">
        <w:rPr>
          <w:rFonts w:ascii="PTSerif-Bold" w:hAnsi="PTSerif-Bold" w:cs="PTSerif-Bold"/>
          <w:b/>
          <w:bCs/>
          <w:color w:val="0F243E" w:themeColor="text2" w:themeShade="80"/>
          <w:sz w:val="32"/>
          <w:szCs w:val="32"/>
          <w:lang w:val="en-GB"/>
        </w:rPr>
        <w:t>Complications of Laparoscopic Sleeve</w:t>
      </w:r>
      <w:r>
        <w:rPr>
          <w:rFonts w:ascii="PTSerif-Bold" w:hAnsi="PTSerif-Bold" w:cs="PTSerif-Bold"/>
          <w:b/>
          <w:bCs/>
          <w:color w:val="0F243E" w:themeColor="text2" w:themeShade="80"/>
          <w:sz w:val="32"/>
          <w:szCs w:val="32"/>
          <w:lang w:val="en-GB"/>
        </w:rPr>
        <w:t xml:space="preserve"> </w:t>
      </w:r>
      <w:r w:rsidRPr="00AC4D54">
        <w:rPr>
          <w:rFonts w:ascii="PTSerif-Bold" w:hAnsi="PTSerif-Bold" w:cs="PTSerif-Bold"/>
          <w:b/>
          <w:bCs/>
          <w:color w:val="0F243E" w:themeColor="text2" w:themeShade="80"/>
          <w:sz w:val="32"/>
          <w:szCs w:val="32"/>
          <w:lang w:val="en-GB"/>
        </w:rPr>
        <w:t>Gastrectomy (LSG) and Laparoscopic Roux-</w:t>
      </w:r>
      <w:proofErr w:type="spellStart"/>
      <w:r w:rsidRPr="00AC4D54">
        <w:rPr>
          <w:rFonts w:ascii="PTSerif-Bold" w:hAnsi="PTSerif-Bold" w:cs="PTSerif-Bold"/>
          <w:b/>
          <w:bCs/>
          <w:color w:val="0F243E" w:themeColor="text2" w:themeShade="80"/>
          <w:sz w:val="32"/>
          <w:szCs w:val="32"/>
          <w:lang w:val="en-GB"/>
        </w:rPr>
        <w:t>en</w:t>
      </w:r>
      <w:proofErr w:type="spellEnd"/>
      <w:r w:rsidRPr="00AC4D54">
        <w:rPr>
          <w:rFonts w:ascii="PTSerif-Bold" w:hAnsi="PTSerif-Bold" w:cs="PTSerif-Bold"/>
          <w:b/>
          <w:bCs/>
          <w:color w:val="0F243E" w:themeColor="text2" w:themeShade="80"/>
          <w:sz w:val="32"/>
          <w:szCs w:val="32"/>
          <w:lang w:val="en-GB"/>
        </w:rPr>
        <w:t>-Y</w:t>
      </w:r>
      <w:r>
        <w:rPr>
          <w:rFonts w:ascii="PTSerif-Bold" w:hAnsi="PTSerif-Bold" w:cs="PTSerif-Bold"/>
          <w:b/>
          <w:bCs/>
          <w:color w:val="0F243E" w:themeColor="text2" w:themeShade="80"/>
          <w:sz w:val="32"/>
          <w:szCs w:val="32"/>
          <w:lang w:val="en-GB"/>
        </w:rPr>
        <w:t xml:space="preserve"> </w:t>
      </w:r>
      <w:r w:rsidRPr="00AC4D54">
        <w:rPr>
          <w:rFonts w:ascii="PTSerif-Bold" w:hAnsi="PTSerif-Bold" w:cs="PTSerif-Bold"/>
          <w:b/>
          <w:bCs/>
          <w:color w:val="0F243E" w:themeColor="text2" w:themeShade="80"/>
          <w:sz w:val="32"/>
          <w:szCs w:val="32"/>
          <w:lang w:val="en-GB"/>
        </w:rPr>
        <w:t xml:space="preserve">Gastric Bypass (RNYGB) in Patients </w:t>
      </w:r>
      <w:bookmarkStart w:id="0" w:name="_GoBack"/>
      <w:bookmarkEnd w:id="0"/>
      <w:r w:rsidR="00D45E24" w:rsidRPr="00AC4D54">
        <w:rPr>
          <w:rFonts w:ascii="PTSerif-Bold" w:hAnsi="PTSerif-Bold" w:cs="PTSerif-Bold"/>
          <w:b/>
          <w:bCs/>
          <w:color w:val="0F243E" w:themeColor="text2" w:themeShade="80"/>
          <w:sz w:val="32"/>
          <w:szCs w:val="32"/>
          <w:lang w:val="en-GB"/>
        </w:rPr>
        <w:t>with</w:t>
      </w:r>
      <w:r w:rsidRPr="00AC4D54">
        <w:rPr>
          <w:rFonts w:ascii="PTSerif-Bold" w:hAnsi="PTSerif-Bold" w:cs="PTSerif-Bold"/>
          <w:b/>
          <w:bCs/>
          <w:color w:val="0F243E" w:themeColor="text2" w:themeShade="80"/>
          <w:sz w:val="32"/>
          <w:szCs w:val="32"/>
          <w:lang w:val="en-GB"/>
        </w:rPr>
        <w:t xml:space="preserve"> Morbid</w:t>
      </w:r>
      <w:r>
        <w:rPr>
          <w:rFonts w:ascii="PTSerif-Bold" w:hAnsi="PTSerif-Bold" w:cs="PTSerif-Bold"/>
          <w:b/>
          <w:bCs/>
          <w:color w:val="0F243E" w:themeColor="text2" w:themeShade="80"/>
          <w:sz w:val="32"/>
          <w:szCs w:val="32"/>
          <w:lang w:val="en-GB"/>
        </w:rPr>
        <w:t xml:space="preserve"> </w:t>
      </w:r>
      <w:r w:rsidRPr="00AC4D54">
        <w:rPr>
          <w:rFonts w:ascii="PTSerif-Bold" w:hAnsi="PTSerif-Bold" w:cs="PTSerif-Bold"/>
          <w:b/>
          <w:bCs/>
          <w:color w:val="0F243E" w:themeColor="text2" w:themeShade="80"/>
          <w:sz w:val="32"/>
          <w:szCs w:val="32"/>
          <w:lang w:val="en-GB"/>
        </w:rPr>
        <w:t>Obesity: A Meta-Analysis</w:t>
      </w:r>
    </w:p>
    <w:p w14:paraId="2BB5D558" w14:textId="77777777" w:rsidR="00E93AB3" w:rsidRDefault="00E93AB3" w:rsidP="00E93AB3">
      <w:pPr>
        <w:pStyle w:val="Default"/>
      </w:pPr>
      <w:r>
        <w:t xml:space="preserve"> </w:t>
      </w:r>
    </w:p>
    <w:p w14:paraId="55031792" w14:textId="79C66D47" w:rsidR="00E93AB3" w:rsidRPr="00E93AB3" w:rsidRDefault="00E93AB3" w:rsidP="00E93AB3">
      <w:pPr>
        <w:pStyle w:val="Default"/>
      </w:pPr>
      <w:r w:rsidRPr="00E93AB3">
        <w:t xml:space="preserve">Submitting author’s name: </w:t>
      </w:r>
      <w:proofErr w:type="spellStart"/>
      <w:r w:rsidRPr="00E93AB3">
        <w:t>Dr.Saryia</w:t>
      </w:r>
      <w:proofErr w:type="spellEnd"/>
      <w:r w:rsidRPr="00E93AB3">
        <w:t xml:space="preserve"> Javed </w:t>
      </w:r>
    </w:p>
    <w:p w14:paraId="337BB404" w14:textId="77777777" w:rsidR="00E93AB3" w:rsidRPr="00E93AB3" w:rsidRDefault="00E93AB3" w:rsidP="00E93AB3">
      <w:pPr>
        <w:pStyle w:val="Default"/>
      </w:pPr>
    </w:p>
    <w:p w14:paraId="72AC2456" w14:textId="2ED72C6D" w:rsidR="00E93AB3" w:rsidRPr="00E93AB3" w:rsidRDefault="00E93AB3" w:rsidP="00E93AB3">
      <w:pPr>
        <w:pStyle w:val="Default"/>
      </w:pPr>
      <w:r w:rsidRPr="00E93AB3">
        <w:t xml:space="preserve">Submitting author’s email: riya_haider26@hotmail.com </w:t>
      </w:r>
    </w:p>
    <w:p w14:paraId="290241F7" w14:textId="77777777" w:rsidR="00E93AB3" w:rsidRDefault="00E93AB3" w:rsidP="00B06B94">
      <w:pPr>
        <w:rPr>
          <w:rFonts w:ascii="Times New Roman" w:hAnsi="Times New Roman" w:cs="Times New Roman"/>
          <w:sz w:val="24"/>
          <w:szCs w:val="24"/>
        </w:rPr>
      </w:pPr>
    </w:p>
    <w:p w14:paraId="27A26427" w14:textId="77777777" w:rsidR="00E93AB3" w:rsidRPr="00E93AB3" w:rsidRDefault="00E93AB3" w:rsidP="00B06B94">
      <w:pPr>
        <w:rPr>
          <w:rFonts w:ascii="Times New Roman" w:hAnsi="Times New Roman" w:cs="Times New Roman"/>
          <w:sz w:val="24"/>
          <w:szCs w:val="24"/>
        </w:rPr>
      </w:pPr>
      <w:r w:rsidRPr="00E93AB3">
        <w:rPr>
          <w:rFonts w:ascii="Times New Roman" w:hAnsi="Times New Roman" w:cs="Times New Roman"/>
          <w:sz w:val="24"/>
          <w:szCs w:val="24"/>
        </w:rPr>
        <w:t>Institution: NHS GG&amp;C</w:t>
      </w:r>
    </w:p>
    <w:p w14:paraId="27F96298" w14:textId="2239C429" w:rsidR="00E93AB3" w:rsidRPr="00E93AB3" w:rsidRDefault="00E93AB3" w:rsidP="00B06B94">
      <w:pPr>
        <w:rPr>
          <w:rFonts w:ascii="Times New Roman" w:hAnsi="Times New Roman" w:cs="Times New Roman"/>
          <w:sz w:val="24"/>
          <w:szCs w:val="24"/>
        </w:rPr>
      </w:pPr>
      <w:r w:rsidRPr="00E93AB3">
        <w:rPr>
          <w:rFonts w:ascii="Times New Roman" w:hAnsi="Times New Roman" w:cs="Times New Roman"/>
          <w:sz w:val="24"/>
          <w:szCs w:val="24"/>
        </w:rPr>
        <w:t xml:space="preserve">Phone </w:t>
      </w:r>
      <w:r>
        <w:rPr>
          <w:rFonts w:ascii="Times New Roman" w:hAnsi="Times New Roman" w:cs="Times New Roman"/>
          <w:sz w:val="24"/>
          <w:szCs w:val="24"/>
        </w:rPr>
        <w:t># +44</w:t>
      </w:r>
      <w:r w:rsidRPr="00E93AB3">
        <w:rPr>
          <w:rFonts w:ascii="Times New Roman" w:hAnsi="Times New Roman" w:cs="Times New Roman"/>
          <w:sz w:val="24"/>
          <w:szCs w:val="24"/>
        </w:rPr>
        <w:t>7883125742</w:t>
      </w:r>
    </w:p>
    <w:p w14:paraId="13F6B8AB" w14:textId="77777777" w:rsidR="00E93AB3" w:rsidRPr="00E93AB3" w:rsidRDefault="00B06B94" w:rsidP="009745D5">
      <w:pPr>
        <w:rPr>
          <w:rFonts w:ascii="Times New Roman" w:hAnsi="Times New Roman" w:cs="Times New Roman"/>
          <w:sz w:val="28"/>
          <w:szCs w:val="28"/>
        </w:rPr>
      </w:pPr>
      <w:r w:rsidRPr="00E93AB3">
        <w:rPr>
          <w:rFonts w:ascii="Times New Roman" w:hAnsi="Times New Roman" w:cs="Times New Roman"/>
          <w:b/>
          <w:sz w:val="28"/>
          <w:szCs w:val="28"/>
        </w:rPr>
        <w:t>Abstract</w:t>
      </w:r>
      <w:r w:rsidRPr="00E93AB3">
        <w:rPr>
          <w:rFonts w:ascii="Times New Roman" w:hAnsi="Times New Roman" w:cs="Times New Roman"/>
          <w:sz w:val="28"/>
          <w:szCs w:val="28"/>
        </w:rPr>
        <w:t xml:space="preserve"> </w:t>
      </w:r>
    </w:p>
    <w:p w14:paraId="610BB315" w14:textId="7B173064" w:rsidR="00B06B94" w:rsidRPr="00E93AB3" w:rsidRDefault="009745D5" w:rsidP="009745D5">
      <w:pPr>
        <w:rPr>
          <w:rFonts w:ascii="Times New Roman" w:hAnsi="Times New Roman" w:cs="Times New Roman"/>
          <w:sz w:val="24"/>
          <w:szCs w:val="24"/>
        </w:rPr>
      </w:pPr>
      <w:r w:rsidRPr="00E93AB3">
        <w:rPr>
          <w:rFonts w:ascii="Times New Roman" w:hAnsi="Times New Roman" w:cs="Times New Roman"/>
          <w:sz w:val="24"/>
          <w:szCs w:val="24"/>
        </w:rPr>
        <w:t>The most successful method for treating obesity is bariatric surgery. The two most common surgeries for treating morbid obesity are the laparoscopic Roux-</w:t>
      </w:r>
      <w:proofErr w:type="spellStart"/>
      <w:r w:rsidRPr="00E93AB3">
        <w:rPr>
          <w:rFonts w:ascii="Times New Roman" w:hAnsi="Times New Roman" w:cs="Times New Roman"/>
          <w:sz w:val="24"/>
          <w:szCs w:val="24"/>
        </w:rPr>
        <w:t>en</w:t>
      </w:r>
      <w:proofErr w:type="spellEnd"/>
      <w:r w:rsidRPr="00E93AB3">
        <w:rPr>
          <w:rFonts w:ascii="Times New Roman" w:hAnsi="Times New Roman" w:cs="Times New Roman"/>
          <w:sz w:val="24"/>
          <w:szCs w:val="24"/>
        </w:rPr>
        <w:t>-Y gastric bypass (RNYGB) and the laparoscopic sleeve gastrectomy (LSG). However, there has not been a thorough analysis of the differences in their adverse effects. The aim of this study was to analyze if RNYGB and LSG had comparable postoperative complications and mortality. To that end, results from trials comparing those who underwent RNYGB and those who underwent LSG were combined. We explored the Cochrane Library, PubMed, EMBASE, and Web of Science databases for collecting pertinent data, and 10 RCTs were included in the study. Standard deviations were used to determine the risk ratio (RR) and the 95% confidence interval (CI). No substantial difference in mortality was observed between the two procedures. However, our pooled analysis showed that patients who underwent RNYGB needed some reoperation at a higher rate compared to those who had LSG, with a pooled RR of 0.64 (95% CI: 0.42-0.98; p=0.04). Patients who had LSG suffered from fewer postoperative sequelae. While the risk of other complications was higher in RNYGB, our analysis showed that the frequency of gastroesophageal reflux disease (GERD) after LSG was greater than after RNYGB, with a pooled RR of 4.00 (95% CI: 2.55-6.28;  p&lt;0.001). Based on the above-mentioned findings, RNYGB and LSG had comparable mortality rates; however, patients who underwent LSG had a reduced risk of complications and reoperations after surgery compared to those who had RNYGB.</w:t>
      </w:r>
      <w:r w:rsidRPr="00E93AB3">
        <w:rPr>
          <w:rFonts w:ascii="Times New Roman" w:hAnsi="Times New Roman" w:cs="Times New Roman"/>
          <w:sz w:val="24"/>
          <w:szCs w:val="24"/>
        </w:rPr>
        <w:cr/>
      </w:r>
    </w:p>
    <w:p w14:paraId="18E20832" w14:textId="77777777" w:rsidR="00BC77D6" w:rsidRPr="00E93AB3" w:rsidRDefault="00BC77D6" w:rsidP="00B06B94">
      <w:pPr>
        <w:jc w:val="center"/>
        <w:rPr>
          <w:rFonts w:ascii="Times New Roman" w:hAnsi="Times New Roman" w:cs="Times New Roman"/>
          <w:sz w:val="24"/>
          <w:szCs w:val="24"/>
        </w:rPr>
      </w:pPr>
    </w:p>
    <w:p w14:paraId="66E33C9E" w14:textId="77777777" w:rsidR="00FC28FD" w:rsidRDefault="00FC28FD" w:rsidP="00BC77D6">
      <w:pPr>
        <w:rPr>
          <w:rFonts w:ascii="Times New Roman" w:hAnsi="Times New Roman" w:cs="Times New Roman"/>
          <w:b/>
          <w:sz w:val="24"/>
          <w:szCs w:val="24"/>
        </w:rPr>
      </w:pPr>
    </w:p>
    <w:p w14:paraId="3261184B" w14:textId="45E56A4F" w:rsidR="00BC77D6" w:rsidRDefault="00BC77D6" w:rsidP="00BC77D6">
      <w:pPr>
        <w:rPr>
          <w:rFonts w:ascii="Times New Roman" w:hAnsi="Times New Roman" w:cs="Times New Roman"/>
          <w:b/>
          <w:sz w:val="24"/>
          <w:szCs w:val="24"/>
        </w:rPr>
      </w:pPr>
      <w:r w:rsidRPr="00E93AB3">
        <w:rPr>
          <w:rFonts w:ascii="Times New Roman" w:hAnsi="Times New Roman" w:cs="Times New Roman"/>
          <w:b/>
          <w:sz w:val="24"/>
          <w:szCs w:val="24"/>
        </w:rPr>
        <w:t>Biography</w:t>
      </w:r>
      <w:r w:rsidR="00D17536" w:rsidRPr="00E93AB3">
        <w:rPr>
          <w:rFonts w:ascii="Times New Roman" w:hAnsi="Times New Roman" w:cs="Times New Roman"/>
          <w:b/>
          <w:sz w:val="24"/>
          <w:szCs w:val="24"/>
        </w:rPr>
        <w:t xml:space="preserve"> </w:t>
      </w:r>
    </w:p>
    <w:p w14:paraId="5C4ECAF7" w14:textId="77777777" w:rsidR="00FC28FD" w:rsidRPr="00FC28FD" w:rsidRDefault="00FC28FD" w:rsidP="00FC28FD">
      <w:pPr>
        <w:autoSpaceDE w:val="0"/>
        <w:autoSpaceDN w:val="0"/>
        <w:adjustRightInd w:val="0"/>
        <w:spacing w:after="0" w:line="240" w:lineRule="auto"/>
        <w:rPr>
          <w:rFonts w:ascii="Cambria" w:hAnsi="Cambria" w:cs="Cambria"/>
          <w:color w:val="000000"/>
          <w:sz w:val="24"/>
          <w:szCs w:val="24"/>
          <w:lang w:val="en-GB"/>
        </w:rPr>
      </w:pPr>
    </w:p>
    <w:p w14:paraId="1A3AC3C9" w14:textId="55CD54EC" w:rsidR="00FC28FD" w:rsidRPr="00FC28FD" w:rsidRDefault="00FC28FD" w:rsidP="00FC28FD">
      <w:pPr>
        <w:rPr>
          <w:rFonts w:ascii="Times New Roman" w:hAnsi="Times New Roman" w:cs="Times New Roman"/>
          <w:sz w:val="24"/>
          <w:szCs w:val="24"/>
        </w:rPr>
      </w:pPr>
      <w:r w:rsidRPr="00FC28FD">
        <w:rPr>
          <w:rFonts w:ascii="Cambria" w:hAnsi="Cambria" w:cs="Cambria"/>
          <w:color w:val="000000"/>
          <w:sz w:val="24"/>
          <w:szCs w:val="24"/>
          <w:lang w:val="en-GB"/>
        </w:rPr>
        <w:t xml:space="preserve"> </w:t>
      </w:r>
      <w:proofErr w:type="spellStart"/>
      <w:r w:rsidRPr="00FC28FD">
        <w:rPr>
          <w:rFonts w:ascii="Times New Roman" w:hAnsi="Times New Roman" w:cs="Times New Roman"/>
          <w:color w:val="000000"/>
          <w:sz w:val="24"/>
          <w:szCs w:val="24"/>
          <w:lang w:val="en-GB"/>
        </w:rPr>
        <w:t>Dr.Saryia</w:t>
      </w:r>
      <w:proofErr w:type="spellEnd"/>
      <w:r w:rsidRPr="00FC28FD">
        <w:rPr>
          <w:rFonts w:ascii="Times New Roman" w:hAnsi="Times New Roman" w:cs="Times New Roman"/>
          <w:color w:val="000000"/>
          <w:sz w:val="24"/>
          <w:szCs w:val="24"/>
          <w:lang w:val="en-GB"/>
        </w:rPr>
        <w:t xml:space="preserve"> Javed has her expertise in evaluation and passion for improving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w:t>
      </w:r>
    </w:p>
    <w:p w14:paraId="51EDBC94" w14:textId="1E9C2279" w:rsidR="00BC77D6" w:rsidRPr="00D17536" w:rsidRDefault="00BC77D6" w:rsidP="00BC77D6">
      <w:pPr>
        <w:rPr>
          <w:rFonts w:ascii="Times New Roman" w:hAnsi="Times New Roman" w:cs="Times New Roman"/>
          <w:b/>
        </w:rPr>
      </w:pPr>
    </w:p>
    <w:sectPr w:rsidR="00BC77D6" w:rsidRPr="00D17536"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Serif-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B06B94"/>
    <w:rsid w:val="00214836"/>
    <w:rsid w:val="002A0F8F"/>
    <w:rsid w:val="003A5CE1"/>
    <w:rsid w:val="004C2585"/>
    <w:rsid w:val="00703B82"/>
    <w:rsid w:val="00901BF0"/>
    <w:rsid w:val="009745D5"/>
    <w:rsid w:val="00AC4D54"/>
    <w:rsid w:val="00B06B94"/>
    <w:rsid w:val="00B60C0F"/>
    <w:rsid w:val="00BC77D6"/>
    <w:rsid w:val="00C006C1"/>
    <w:rsid w:val="00D17536"/>
    <w:rsid w:val="00D45E24"/>
    <w:rsid w:val="00E92235"/>
    <w:rsid w:val="00E93AB3"/>
    <w:rsid w:val="00FC2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14F2"/>
  <w15:docId w15:val="{4586789B-8F88-4429-9C27-93454416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customStyle="1" w:styleId="Default">
    <w:name w:val="Default"/>
    <w:rsid w:val="00E93AB3"/>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Saryia Javed</cp:lastModifiedBy>
  <cp:revision>24</cp:revision>
  <dcterms:created xsi:type="dcterms:W3CDTF">2019-01-08T13:59:00Z</dcterms:created>
  <dcterms:modified xsi:type="dcterms:W3CDTF">2023-10-28T16:26:00Z</dcterms:modified>
</cp:coreProperties>
</file>