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299" w:rsidRDefault="00265299" w:rsidP="00265299">
      <w:pPr>
        <w:spacing w:after="158" w:line="259" w:lineRule="auto"/>
        <w:ind w:left="-5" w:right="362"/>
      </w:pPr>
      <w:r>
        <w:rPr>
          <w:b/>
        </w:rPr>
        <w:t xml:space="preserve">Corresponding Author name: </w:t>
      </w:r>
      <w:proofErr w:type="spellStart"/>
      <w:r w:rsidRPr="00B73FD0">
        <w:t>Dr.</w:t>
      </w:r>
      <w:proofErr w:type="spellEnd"/>
      <w:r w:rsidRPr="00B73FD0">
        <w:t xml:space="preserve"> Saryia Javed</w:t>
      </w:r>
      <w:r>
        <w:rPr>
          <w:b/>
        </w:rPr>
        <w:t xml:space="preserve"> </w:t>
      </w:r>
    </w:p>
    <w:p w:rsidR="00265299" w:rsidRDefault="00265299" w:rsidP="00265299">
      <w:pPr>
        <w:spacing w:after="158" w:line="259" w:lineRule="auto"/>
        <w:ind w:left="-5" w:right="362"/>
      </w:pPr>
      <w:r>
        <w:rPr>
          <w:b/>
        </w:rPr>
        <w:t>Affiliation:</w:t>
      </w:r>
      <w:r>
        <w:rPr>
          <w:rFonts w:ascii="Calibri" w:eastAsia="Calibri" w:hAnsi="Calibri" w:cs="Calibri"/>
        </w:rPr>
        <w:t xml:space="preserve"> NHS GGC</w:t>
      </w:r>
      <w:r>
        <w:rPr>
          <w:b/>
        </w:rPr>
        <w:t xml:space="preserve"> </w:t>
      </w:r>
    </w:p>
    <w:p w:rsidR="00265299" w:rsidRDefault="00265299" w:rsidP="00265299">
      <w:pPr>
        <w:spacing w:after="158" w:line="259" w:lineRule="auto"/>
        <w:ind w:left="-5" w:right="362"/>
      </w:pPr>
      <w:r>
        <w:rPr>
          <w:b/>
        </w:rPr>
        <w:t xml:space="preserve">Ph. No:  </w:t>
      </w:r>
      <w:r w:rsidRPr="00B73FD0">
        <w:t xml:space="preserve">07883125742 </w:t>
      </w:r>
    </w:p>
    <w:p w:rsidR="00265299" w:rsidRDefault="00265299" w:rsidP="00265299">
      <w:pPr>
        <w:spacing w:after="159" w:line="259" w:lineRule="auto"/>
        <w:ind w:left="0" w:right="362" w:firstLine="0"/>
      </w:pPr>
      <w:r>
        <w:rPr>
          <w:b/>
        </w:rPr>
        <w:t xml:space="preserve">Email ID’s:  </w:t>
      </w:r>
      <w:r w:rsidRPr="00B73FD0">
        <w:t xml:space="preserve">riya_haider26@hotmail.com </w:t>
      </w:r>
    </w:p>
    <w:p w:rsidR="00265299" w:rsidRPr="00B73FD0" w:rsidRDefault="00265299" w:rsidP="00265299">
      <w:pPr>
        <w:spacing w:after="0" w:line="407" w:lineRule="auto"/>
        <w:ind w:left="-5" w:right="362"/>
      </w:pPr>
      <w:r>
        <w:rPr>
          <w:b/>
        </w:rPr>
        <w:t xml:space="preserve">WhatsApp No: </w:t>
      </w:r>
      <w:r w:rsidRPr="00B73FD0">
        <w:t xml:space="preserve">+923315943184 </w:t>
      </w:r>
    </w:p>
    <w:p w:rsidR="009B54CD" w:rsidRDefault="00265299" w:rsidP="00265299">
      <w:pPr>
        <w:pStyle w:val="Default"/>
      </w:pPr>
      <w:r>
        <w:rPr>
          <w:b/>
        </w:rPr>
        <w:t xml:space="preserve">Presentation type:  </w:t>
      </w:r>
      <w:r>
        <w:t>Oral presentation</w:t>
      </w:r>
    </w:p>
    <w:p w:rsidR="00265299" w:rsidRDefault="00265299" w:rsidP="009B54CD">
      <w:pPr>
        <w:pStyle w:val="Default"/>
      </w:pPr>
    </w:p>
    <w:p w:rsidR="00265299" w:rsidRDefault="00265299" w:rsidP="009B54CD">
      <w:pPr>
        <w:pStyle w:val="Default"/>
      </w:pPr>
    </w:p>
    <w:p w:rsidR="00265299" w:rsidRDefault="00265299" w:rsidP="009B54CD">
      <w:pPr>
        <w:pStyle w:val="Default"/>
      </w:pPr>
    </w:p>
    <w:p w:rsidR="00265299" w:rsidRDefault="00265299" w:rsidP="009B54CD">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366"/>
        <w:gridCol w:w="10"/>
        <w:gridCol w:w="4356"/>
        <w:gridCol w:w="20"/>
      </w:tblGrid>
      <w:tr w:rsidR="009B54CD" w:rsidTr="00AE0D36">
        <w:trPr>
          <w:gridAfter w:val="1"/>
          <w:wAfter w:w="20" w:type="dxa"/>
          <w:trHeight w:val="379"/>
        </w:trPr>
        <w:tc>
          <w:tcPr>
            <w:tcW w:w="4366" w:type="dxa"/>
          </w:tcPr>
          <w:p w:rsidR="009B54CD" w:rsidRDefault="009B54CD">
            <w:pPr>
              <w:pStyle w:val="Default"/>
              <w:rPr>
                <w:sz w:val="23"/>
                <w:szCs w:val="23"/>
              </w:rPr>
            </w:pPr>
            <w:r>
              <w:t xml:space="preserve"> </w:t>
            </w:r>
            <w:r>
              <w:rPr>
                <w:b/>
                <w:bCs/>
                <w:sz w:val="23"/>
                <w:szCs w:val="23"/>
              </w:rPr>
              <w:t xml:space="preserve">Title </w:t>
            </w:r>
          </w:p>
        </w:tc>
        <w:tc>
          <w:tcPr>
            <w:tcW w:w="4366" w:type="dxa"/>
            <w:gridSpan w:val="2"/>
          </w:tcPr>
          <w:p w:rsidR="009B54CD" w:rsidRDefault="009B54CD">
            <w:pPr>
              <w:pStyle w:val="Default"/>
              <w:rPr>
                <w:sz w:val="22"/>
                <w:szCs w:val="22"/>
              </w:rPr>
            </w:pPr>
            <w:r>
              <w:rPr>
                <w:sz w:val="22"/>
                <w:szCs w:val="22"/>
              </w:rPr>
              <w:t xml:space="preserve">Comparative Efficacy of Topical Metronidazole and Glyceryl </w:t>
            </w:r>
            <w:proofErr w:type="spellStart"/>
            <w:r>
              <w:rPr>
                <w:sz w:val="22"/>
                <w:szCs w:val="22"/>
              </w:rPr>
              <w:t>Trinitrate</w:t>
            </w:r>
            <w:proofErr w:type="spellEnd"/>
            <w:r>
              <w:rPr>
                <w:sz w:val="22"/>
                <w:szCs w:val="22"/>
              </w:rPr>
              <w:t xml:space="preserve"> Versus Topical Glyceryl </w:t>
            </w:r>
            <w:proofErr w:type="spellStart"/>
            <w:r>
              <w:rPr>
                <w:sz w:val="22"/>
                <w:szCs w:val="22"/>
              </w:rPr>
              <w:t>Trinitrate</w:t>
            </w:r>
            <w:proofErr w:type="spellEnd"/>
            <w:r>
              <w:rPr>
                <w:sz w:val="22"/>
                <w:szCs w:val="22"/>
              </w:rPr>
              <w:t xml:space="preserve"> Alone in the Treatment of Acute Anal Fissure: A Randomized Clinical Trial </w:t>
            </w:r>
          </w:p>
          <w:p w:rsidR="009B54CD" w:rsidRDefault="009B54CD">
            <w:pPr>
              <w:pStyle w:val="Default"/>
              <w:rPr>
                <w:sz w:val="22"/>
                <w:szCs w:val="22"/>
              </w:rPr>
            </w:pPr>
          </w:p>
          <w:p w:rsidR="009B54CD" w:rsidRDefault="009B54CD">
            <w:pPr>
              <w:pStyle w:val="Default"/>
              <w:rPr>
                <w:sz w:val="22"/>
                <w:szCs w:val="22"/>
              </w:rPr>
            </w:pPr>
          </w:p>
          <w:p w:rsidR="009B54CD" w:rsidRDefault="009B54CD">
            <w:pPr>
              <w:pStyle w:val="Default"/>
              <w:rPr>
                <w:sz w:val="22"/>
                <w:szCs w:val="22"/>
              </w:rPr>
            </w:pPr>
          </w:p>
        </w:tc>
      </w:tr>
      <w:tr w:rsidR="009B54CD" w:rsidTr="00AE0D36">
        <w:trPr>
          <w:gridAfter w:val="1"/>
          <w:wAfter w:w="20" w:type="dxa"/>
          <w:trHeight w:val="940"/>
        </w:trPr>
        <w:tc>
          <w:tcPr>
            <w:tcW w:w="4366" w:type="dxa"/>
          </w:tcPr>
          <w:p w:rsidR="009B54CD" w:rsidRDefault="009B54CD">
            <w:pPr>
              <w:pStyle w:val="Default"/>
              <w:rPr>
                <w:sz w:val="23"/>
                <w:szCs w:val="23"/>
              </w:rPr>
            </w:pPr>
            <w:r>
              <w:rPr>
                <w:b/>
                <w:bCs/>
                <w:sz w:val="23"/>
                <w:szCs w:val="23"/>
              </w:rPr>
              <w:t xml:space="preserve">Aim: </w:t>
            </w:r>
          </w:p>
        </w:tc>
        <w:tc>
          <w:tcPr>
            <w:tcW w:w="4366" w:type="dxa"/>
            <w:gridSpan w:val="2"/>
          </w:tcPr>
          <w:p w:rsidR="009B54CD" w:rsidRDefault="009B54CD">
            <w:pPr>
              <w:pStyle w:val="Default"/>
              <w:rPr>
                <w:sz w:val="22"/>
                <w:szCs w:val="22"/>
              </w:rPr>
            </w:pPr>
            <w:r>
              <w:rPr>
                <w:sz w:val="22"/>
                <w:szCs w:val="22"/>
              </w:rPr>
              <w:t xml:space="preserve">An anal fissure is a longitudinal, oval lesion in the anal canal. In over 90% of instances, the anal fissures are located posterior to the midline and produce discomfort upon defecation and/or bleeding owing to spasms of the internal anal sphincter that leads to ischemia. This research aimed to determine if topical metronidazole treatment when combined with glyceryl </w:t>
            </w:r>
            <w:proofErr w:type="spellStart"/>
            <w:r>
              <w:rPr>
                <w:sz w:val="22"/>
                <w:szCs w:val="22"/>
              </w:rPr>
              <w:t>trinitrate</w:t>
            </w:r>
            <w:proofErr w:type="spellEnd"/>
            <w:r>
              <w:rPr>
                <w:sz w:val="22"/>
                <w:szCs w:val="22"/>
              </w:rPr>
              <w:t xml:space="preserve"> 0.2% (GTN), is more successful than GTN alone in reducing the time for an acute anal fissure to heal. </w:t>
            </w:r>
          </w:p>
          <w:p w:rsidR="009B54CD" w:rsidRDefault="009B54CD">
            <w:pPr>
              <w:pStyle w:val="Default"/>
              <w:rPr>
                <w:sz w:val="22"/>
                <w:szCs w:val="22"/>
              </w:rPr>
            </w:pPr>
          </w:p>
          <w:p w:rsidR="009B54CD" w:rsidRDefault="009B54CD">
            <w:pPr>
              <w:pStyle w:val="Default"/>
              <w:rPr>
                <w:sz w:val="22"/>
                <w:szCs w:val="22"/>
              </w:rPr>
            </w:pPr>
          </w:p>
        </w:tc>
      </w:tr>
      <w:tr w:rsidR="009B54CD" w:rsidTr="00AE0D36">
        <w:trPr>
          <w:gridAfter w:val="1"/>
          <w:wAfter w:w="20" w:type="dxa"/>
          <w:trHeight w:val="1782"/>
        </w:trPr>
        <w:tc>
          <w:tcPr>
            <w:tcW w:w="4366" w:type="dxa"/>
          </w:tcPr>
          <w:p w:rsidR="009B54CD" w:rsidRDefault="009B54CD">
            <w:pPr>
              <w:pStyle w:val="Default"/>
              <w:rPr>
                <w:sz w:val="23"/>
                <w:szCs w:val="23"/>
              </w:rPr>
            </w:pPr>
            <w:r>
              <w:rPr>
                <w:b/>
                <w:bCs/>
                <w:sz w:val="23"/>
                <w:szCs w:val="23"/>
              </w:rPr>
              <w:t xml:space="preserve">Materials and Methods: </w:t>
            </w:r>
          </w:p>
        </w:tc>
        <w:tc>
          <w:tcPr>
            <w:tcW w:w="4366" w:type="dxa"/>
            <w:gridSpan w:val="2"/>
          </w:tcPr>
          <w:p w:rsidR="009B54CD" w:rsidRDefault="009B54CD">
            <w:pPr>
              <w:pStyle w:val="Default"/>
              <w:rPr>
                <w:sz w:val="22"/>
                <w:szCs w:val="22"/>
              </w:rPr>
            </w:pPr>
            <w:r>
              <w:rPr>
                <w:sz w:val="22"/>
                <w:szCs w:val="22"/>
              </w:rPr>
              <w:t xml:space="preserve">This study was a single-blinded, randomized controlled trial conducted at the DHQ Hospital </w:t>
            </w:r>
            <w:proofErr w:type="spellStart"/>
            <w:r>
              <w:rPr>
                <w:sz w:val="22"/>
                <w:szCs w:val="22"/>
              </w:rPr>
              <w:t>Okara</w:t>
            </w:r>
            <w:proofErr w:type="spellEnd"/>
            <w:r>
              <w:rPr>
                <w:sz w:val="22"/>
                <w:szCs w:val="22"/>
              </w:rPr>
              <w:t xml:space="preserve"> from January 2022 to August 2022. Patients of both genders, aged 18 to 70 years, with acute anal fissures, were included. One hundred forty patients who satisfied the inclusion criteria were randomized through the lottery technique and were divided into two groups (70 in each group). Group A contained patients who got metronidazole combination with GTN, while in Group B, patients treated with GTN alone without metronidazole. The primary endpoint was fissure healing, confirmed as finding a scar where the fissure was. While the secondary endpoint was maximum pain on defecation assessed by the Visual Analogue Scale (VAS). Statistical analysis was performed using Statistical Package for Social Sciences (SPSS) v24. Chi-Square and Fisher’s Exact tests were done for </w:t>
            </w:r>
            <w:r>
              <w:rPr>
                <w:sz w:val="22"/>
                <w:szCs w:val="22"/>
              </w:rPr>
              <w:lastRenderedPageBreak/>
              <w:t xml:space="preserve">statistical analysis, and p &lt; 0.05 was considered significant. </w:t>
            </w:r>
          </w:p>
          <w:p w:rsidR="00190B1D" w:rsidRDefault="00190B1D">
            <w:pPr>
              <w:pStyle w:val="Default"/>
              <w:rPr>
                <w:sz w:val="22"/>
                <w:szCs w:val="22"/>
              </w:rPr>
            </w:pPr>
          </w:p>
          <w:p w:rsidR="00190B1D" w:rsidRDefault="00190B1D">
            <w:pPr>
              <w:pStyle w:val="Default"/>
              <w:rPr>
                <w:sz w:val="22"/>
                <w:szCs w:val="22"/>
              </w:rPr>
            </w:pPr>
          </w:p>
        </w:tc>
      </w:tr>
      <w:tr w:rsidR="00190B1D" w:rsidTr="00AE0D36">
        <w:trPr>
          <w:gridAfter w:val="1"/>
          <w:wAfter w:w="20" w:type="dxa"/>
          <w:trHeight w:val="1782"/>
        </w:trPr>
        <w:tc>
          <w:tcPr>
            <w:tcW w:w="4366" w:type="dxa"/>
            <w:tcBorders>
              <w:left w:val="nil"/>
              <w:bottom w:val="nil"/>
            </w:tcBorders>
          </w:tcPr>
          <w:p w:rsidR="00190B1D" w:rsidRPr="00190B1D" w:rsidRDefault="00190B1D">
            <w:pPr>
              <w:pStyle w:val="Default"/>
              <w:rPr>
                <w:b/>
                <w:bCs/>
                <w:sz w:val="23"/>
                <w:szCs w:val="23"/>
              </w:rPr>
            </w:pPr>
            <w:r>
              <w:rPr>
                <w:b/>
                <w:bCs/>
                <w:sz w:val="23"/>
                <w:szCs w:val="23"/>
              </w:rPr>
              <w:lastRenderedPageBreak/>
              <w:t xml:space="preserve">Results: </w:t>
            </w:r>
          </w:p>
        </w:tc>
        <w:tc>
          <w:tcPr>
            <w:tcW w:w="4366" w:type="dxa"/>
            <w:gridSpan w:val="2"/>
            <w:tcBorders>
              <w:bottom w:val="nil"/>
              <w:right w:val="nil"/>
            </w:tcBorders>
          </w:tcPr>
          <w:p w:rsidR="00190B1D" w:rsidRDefault="00952BB5">
            <w:pPr>
              <w:pStyle w:val="Default"/>
              <w:rPr>
                <w:sz w:val="22"/>
                <w:szCs w:val="22"/>
              </w:rPr>
            </w:pPr>
            <w:r>
              <w:rPr>
                <w:sz w:val="22"/>
                <w:szCs w:val="22"/>
              </w:rPr>
              <w:t xml:space="preserve">Three patients lost </w:t>
            </w:r>
            <w:r w:rsidR="00190B1D">
              <w:rPr>
                <w:sz w:val="22"/>
                <w:szCs w:val="22"/>
              </w:rPr>
              <w:t xml:space="preserve">follow-up. Out of the remaining 137, 70 (51.1%) patients were male. The patient’s ages ranged from 22 to 68 years, with a mean age of 39.18 ± 11.52. One hundred twenty-six (92%) complained of pain on defecation with a mean VAS of 6.01 ± 2.35. 80 (58.4%) patients complained of perianal itching, while 25 (18.2%) patients complained of bleeding on defecation. On week 1 follow-up, in group A out of 69 patients, 27 (39.1%) had complete healing, 38 (55.1%) had partial healing, while in group B out of 68 patients, one (1.4%) had complete healing, 43 (63.2%) had partial healing (p = &lt; 0.001, significant). On week 3 follow-up, in group </w:t>
            </w:r>
            <w:proofErr w:type="gramStart"/>
            <w:r w:rsidR="00190B1D">
              <w:rPr>
                <w:sz w:val="22"/>
                <w:szCs w:val="22"/>
              </w:rPr>
              <w:t>A</w:t>
            </w:r>
            <w:proofErr w:type="gramEnd"/>
            <w:r w:rsidR="00190B1D">
              <w:rPr>
                <w:sz w:val="22"/>
                <w:szCs w:val="22"/>
              </w:rPr>
              <w:t xml:space="preserve"> out of 69 patients, 47 (68.1%) had complete healing, and 22 (31.8%) had partial healing, while in group B out of 68 patients, 16 (23.5%) had complete healing, 49 (72%) had partial healing (p = &lt; 0.001, significant). Mean VAS score of group A was 0.61 ± 1.38 while that of group B was 2.57 ± 2.50 (p = &lt; 0.001, significant). </w:t>
            </w:r>
          </w:p>
          <w:p w:rsidR="00AE0D36" w:rsidRDefault="00AE0D36">
            <w:pPr>
              <w:pStyle w:val="Default"/>
              <w:rPr>
                <w:sz w:val="22"/>
                <w:szCs w:val="22"/>
              </w:rPr>
            </w:pPr>
          </w:p>
          <w:p w:rsidR="00AE0D36" w:rsidRDefault="00AE0D36">
            <w:pPr>
              <w:pStyle w:val="Default"/>
              <w:rPr>
                <w:sz w:val="22"/>
                <w:szCs w:val="22"/>
              </w:rPr>
            </w:pPr>
          </w:p>
        </w:tc>
      </w:tr>
      <w:tr w:rsidR="00AE0D36" w:rsidTr="00AE0D36">
        <w:trPr>
          <w:trHeight w:val="800"/>
        </w:trPr>
        <w:tc>
          <w:tcPr>
            <w:tcW w:w="4376" w:type="dxa"/>
            <w:gridSpan w:val="2"/>
          </w:tcPr>
          <w:p w:rsidR="00AE0D36" w:rsidRDefault="00AE0D36">
            <w:pPr>
              <w:pStyle w:val="Default"/>
              <w:rPr>
                <w:sz w:val="23"/>
                <w:szCs w:val="23"/>
              </w:rPr>
            </w:pPr>
            <w:r>
              <w:rPr>
                <w:b/>
                <w:bCs/>
                <w:sz w:val="23"/>
                <w:szCs w:val="23"/>
              </w:rPr>
              <w:t xml:space="preserve">Conclusion: </w:t>
            </w:r>
          </w:p>
        </w:tc>
        <w:tc>
          <w:tcPr>
            <w:tcW w:w="4376" w:type="dxa"/>
            <w:gridSpan w:val="2"/>
          </w:tcPr>
          <w:p w:rsidR="00AE0D36" w:rsidRDefault="00AE0D36">
            <w:pPr>
              <w:pStyle w:val="Default"/>
              <w:rPr>
                <w:sz w:val="22"/>
                <w:szCs w:val="22"/>
              </w:rPr>
            </w:pPr>
            <w:r>
              <w:rPr>
                <w:sz w:val="22"/>
                <w:szCs w:val="22"/>
              </w:rPr>
              <w:t xml:space="preserve">With the addition of topical metronidazole to standard therapy, the rapid decrease of acute anal fissure related discomfort, the shortened healing time of the fissure, and the high healing rate show that infection plays a significant role in the aetiology of anal fissures. Using topical metronidazole as an addition to standard therapy may reduce the chronicity of acute anal fissures and prevent surgical treatments with high rates of complications. </w:t>
            </w:r>
          </w:p>
        </w:tc>
      </w:tr>
    </w:tbl>
    <w:p w:rsidR="00CD017E" w:rsidRDefault="00CD017E"/>
    <w:p w:rsidR="004B3F7C" w:rsidRDefault="004B3F7C"/>
    <w:p w:rsidR="004B3F7C" w:rsidRDefault="004B3F7C" w:rsidP="004B3F7C">
      <w:pPr>
        <w:spacing w:after="158" w:line="259" w:lineRule="auto"/>
        <w:ind w:left="-5" w:right="362"/>
      </w:pPr>
      <w:r>
        <w:rPr>
          <w:b/>
        </w:rPr>
        <w:t xml:space="preserve">Biography (150-200 words): </w:t>
      </w:r>
    </w:p>
    <w:p w:rsidR="004B3F7C" w:rsidRDefault="004B3F7C" w:rsidP="004B3F7C">
      <w:pPr>
        <w:spacing w:after="0"/>
        <w:ind w:left="0" w:firstLine="0"/>
        <w:jc w:val="both"/>
      </w:pPr>
      <w:proofErr w:type="spellStart"/>
      <w:r>
        <w:t>Dr.Saryia</w:t>
      </w:r>
      <w:proofErr w:type="spellEnd"/>
      <w:r>
        <w:t xml:space="preserve"> Javed has her expertise in evaluation and passion for improving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w:t>
      </w:r>
    </w:p>
    <w:p w:rsidR="005E0629" w:rsidRDefault="005E0629" w:rsidP="004B3F7C">
      <w:pPr>
        <w:spacing w:after="0"/>
        <w:ind w:left="0" w:firstLine="0"/>
        <w:jc w:val="both"/>
      </w:pPr>
    </w:p>
    <w:p w:rsidR="005E0629" w:rsidRDefault="005E0629" w:rsidP="004B3F7C">
      <w:pPr>
        <w:spacing w:after="0"/>
        <w:ind w:left="0" w:firstLine="0"/>
        <w:jc w:val="both"/>
      </w:pPr>
    </w:p>
    <w:p w:rsidR="005E0629" w:rsidRPr="005E0629" w:rsidRDefault="004B3F7C" w:rsidP="005E0629">
      <w:pPr>
        <w:pStyle w:val="Default"/>
        <w:rPr>
          <w:sz w:val="28"/>
          <w:szCs w:val="28"/>
        </w:rPr>
      </w:pPr>
      <w:r>
        <w:t xml:space="preserve"> </w:t>
      </w:r>
      <w:r w:rsidR="005E0629" w:rsidRPr="005E0629">
        <w:rPr>
          <w:b/>
          <w:bCs/>
          <w:sz w:val="28"/>
          <w:szCs w:val="28"/>
        </w:rPr>
        <w:t xml:space="preserve">How to cite this article: </w:t>
      </w:r>
    </w:p>
    <w:p w:rsidR="004B3F7C" w:rsidRDefault="005E0629" w:rsidP="005E0629">
      <w:pPr>
        <w:spacing w:after="0" w:line="259" w:lineRule="auto"/>
        <w:ind w:left="0" w:firstLine="0"/>
        <w:jc w:val="both"/>
      </w:pPr>
      <w:proofErr w:type="spellStart"/>
      <w:r w:rsidRPr="005E0629">
        <w:rPr>
          <w:rFonts w:ascii="Times New Roman" w:eastAsiaTheme="minorHAnsi" w:hAnsi="Times New Roman" w:cs="Times New Roman"/>
          <w:sz w:val="28"/>
          <w:szCs w:val="28"/>
          <w:lang w:eastAsia="en-US"/>
        </w:rPr>
        <w:lastRenderedPageBreak/>
        <w:t>Shahid</w:t>
      </w:r>
      <w:proofErr w:type="spellEnd"/>
      <w:r w:rsidRPr="005E0629">
        <w:rPr>
          <w:rFonts w:ascii="Times New Roman" w:eastAsiaTheme="minorHAnsi" w:hAnsi="Times New Roman" w:cs="Times New Roman"/>
          <w:sz w:val="28"/>
          <w:szCs w:val="28"/>
          <w:lang w:eastAsia="en-US"/>
        </w:rPr>
        <w:t xml:space="preserve"> M, Javed S, Javed S, et al. (November 23, 2022) Comparative Efficacy of Topical Metronidazole and Glyceryl </w:t>
      </w:r>
      <w:proofErr w:type="spellStart"/>
      <w:r w:rsidRPr="005E0629">
        <w:rPr>
          <w:rFonts w:ascii="Times New Roman" w:eastAsiaTheme="minorHAnsi" w:hAnsi="Times New Roman" w:cs="Times New Roman"/>
          <w:sz w:val="28"/>
          <w:szCs w:val="28"/>
          <w:lang w:eastAsia="en-US"/>
        </w:rPr>
        <w:t>Trinitrate</w:t>
      </w:r>
      <w:proofErr w:type="spellEnd"/>
      <w:r w:rsidRPr="005E0629">
        <w:rPr>
          <w:rFonts w:ascii="Times New Roman" w:eastAsiaTheme="minorHAnsi" w:hAnsi="Times New Roman" w:cs="Times New Roman"/>
          <w:sz w:val="28"/>
          <w:szCs w:val="28"/>
          <w:lang w:eastAsia="en-US"/>
        </w:rPr>
        <w:t xml:space="preserve"> </w:t>
      </w:r>
      <w:proofErr w:type="gramStart"/>
      <w:r w:rsidRPr="005E0629">
        <w:rPr>
          <w:rFonts w:ascii="Times New Roman" w:eastAsiaTheme="minorHAnsi" w:hAnsi="Times New Roman" w:cs="Times New Roman"/>
          <w:sz w:val="28"/>
          <w:szCs w:val="28"/>
          <w:lang w:eastAsia="en-US"/>
        </w:rPr>
        <w:t>Versus</w:t>
      </w:r>
      <w:proofErr w:type="gramEnd"/>
      <w:r w:rsidRPr="005E0629">
        <w:rPr>
          <w:rFonts w:ascii="Times New Roman" w:eastAsiaTheme="minorHAnsi" w:hAnsi="Times New Roman" w:cs="Times New Roman"/>
          <w:sz w:val="28"/>
          <w:szCs w:val="28"/>
          <w:lang w:eastAsia="en-US"/>
        </w:rPr>
        <w:t xml:space="preserve"> Topical Glyceryl </w:t>
      </w:r>
      <w:proofErr w:type="spellStart"/>
      <w:r w:rsidRPr="005E0629">
        <w:rPr>
          <w:rFonts w:ascii="Times New Roman" w:eastAsiaTheme="minorHAnsi" w:hAnsi="Times New Roman" w:cs="Times New Roman"/>
          <w:sz w:val="28"/>
          <w:szCs w:val="28"/>
          <w:lang w:eastAsia="en-US"/>
        </w:rPr>
        <w:t>Trinitrate</w:t>
      </w:r>
      <w:proofErr w:type="spellEnd"/>
      <w:r w:rsidRPr="005E0629">
        <w:rPr>
          <w:rFonts w:ascii="Times New Roman" w:eastAsiaTheme="minorHAnsi" w:hAnsi="Times New Roman" w:cs="Times New Roman"/>
          <w:sz w:val="28"/>
          <w:szCs w:val="28"/>
          <w:lang w:eastAsia="en-US"/>
        </w:rPr>
        <w:t xml:space="preserve"> Alone in the Treatment of Acute Anal Fissure: A Randomized Clinical Trial. </w:t>
      </w:r>
      <w:proofErr w:type="spellStart"/>
      <w:r w:rsidRPr="005E0629">
        <w:rPr>
          <w:rFonts w:ascii="Times New Roman" w:eastAsiaTheme="minorHAnsi" w:hAnsi="Times New Roman" w:cs="Times New Roman"/>
          <w:sz w:val="28"/>
          <w:szCs w:val="28"/>
          <w:lang w:eastAsia="en-US"/>
        </w:rPr>
        <w:t>Cureus</w:t>
      </w:r>
      <w:proofErr w:type="spellEnd"/>
      <w:r w:rsidRPr="005E0629">
        <w:rPr>
          <w:rFonts w:ascii="Times New Roman" w:eastAsiaTheme="minorHAnsi" w:hAnsi="Times New Roman" w:cs="Times New Roman"/>
          <w:sz w:val="28"/>
          <w:szCs w:val="28"/>
          <w:lang w:eastAsia="en-US"/>
        </w:rPr>
        <w:t xml:space="preserve"> 14(11): e31812. DOI 10.7759/cureus.31812</w:t>
      </w:r>
      <w:bookmarkStart w:id="0" w:name="_GoBack"/>
      <w:bookmarkEnd w:id="0"/>
    </w:p>
    <w:p w:rsidR="004B3F7C" w:rsidRDefault="004B3F7C"/>
    <w:sectPr w:rsidR="004B3F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2A8"/>
    <w:rsid w:val="00190B1D"/>
    <w:rsid w:val="00265299"/>
    <w:rsid w:val="004B3F7C"/>
    <w:rsid w:val="00585024"/>
    <w:rsid w:val="005E0629"/>
    <w:rsid w:val="008204A3"/>
    <w:rsid w:val="00952BB5"/>
    <w:rsid w:val="009822A8"/>
    <w:rsid w:val="009B54CD"/>
    <w:rsid w:val="00AE0D36"/>
    <w:rsid w:val="00CD0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A11DE4-C95E-4EAD-A5BD-B2EE0757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299"/>
    <w:pPr>
      <w:spacing w:after="27" w:line="257" w:lineRule="auto"/>
      <w:ind w:left="371" w:hanging="10"/>
    </w:pPr>
    <w:rPr>
      <w:rFonts w:ascii="Cambria" w:eastAsia="Cambria" w:hAnsi="Cambria" w:cs="Cambria"/>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54C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599</Words>
  <Characters>3419</Characters>
  <Application>Microsoft Office Word</Application>
  <DocSecurity>0</DocSecurity>
  <Lines>28</Lines>
  <Paragraphs>8</Paragraphs>
  <ScaleCrop>false</ScaleCrop>
  <Company>NHS Greater Glasgow &amp; Clyde</Company>
  <LinksUpToDate>false</LinksUpToDate>
  <CharactersWithSpaces>4010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Saryia Javed</dc:creator>
  <cp:keywords/>
  <dc:description/>
  <cp:lastModifiedBy>Saryia Javed</cp:lastModifiedBy>
  <cp:revision>13</cp:revision>
  <dcterms:created xsi:type="dcterms:W3CDTF">2023-10-28T16:29:00Z</dcterms:created>
  <dcterms:modified xsi:type="dcterms:W3CDTF">2023-10-28T16:37:00Z</dcterms:modified>
</cp:coreProperties>
</file>