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5B092" w14:textId="68FD84DC" w:rsidR="000A6C4E" w:rsidRPr="00A14BBE" w:rsidRDefault="00A14BBE">
      <w:pPr>
        <w:rPr>
          <w:rFonts w:cstheme="minorHAnsi"/>
          <w:b/>
          <w:bCs/>
        </w:rPr>
      </w:pPr>
      <w:r w:rsidRPr="00A14BBE">
        <w:rPr>
          <w:rFonts w:cstheme="minorHAnsi"/>
          <w:b/>
          <w:bCs/>
        </w:rPr>
        <w:t xml:space="preserve">The </w:t>
      </w:r>
      <w:r w:rsidR="00BF0D56">
        <w:rPr>
          <w:rFonts w:cstheme="minorHAnsi"/>
          <w:b/>
          <w:bCs/>
        </w:rPr>
        <w:t>M</w:t>
      </w:r>
      <w:r w:rsidRPr="00A14BBE">
        <w:rPr>
          <w:rFonts w:cstheme="minorHAnsi"/>
          <w:b/>
          <w:bCs/>
        </w:rPr>
        <w:t xml:space="preserve">ost </w:t>
      </w:r>
      <w:r w:rsidR="00BF0D56">
        <w:rPr>
          <w:rFonts w:cstheme="minorHAnsi"/>
          <w:b/>
          <w:bCs/>
        </w:rPr>
        <w:t>C</w:t>
      </w:r>
      <w:r w:rsidRPr="00A14BBE">
        <w:rPr>
          <w:rFonts w:cstheme="minorHAnsi"/>
          <w:b/>
          <w:bCs/>
        </w:rPr>
        <w:t xml:space="preserve">ommon </w:t>
      </w:r>
      <w:r w:rsidR="00BF0D56">
        <w:rPr>
          <w:rFonts w:cstheme="minorHAnsi"/>
          <w:b/>
          <w:bCs/>
        </w:rPr>
        <w:t>A</w:t>
      </w:r>
      <w:r w:rsidRPr="00A14BBE">
        <w:rPr>
          <w:rFonts w:cstheme="minorHAnsi"/>
          <w:b/>
          <w:bCs/>
        </w:rPr>
        <w:t xml:space="preserve">cupuncture </w:t>
      </w:r>
      <w:r w:rsidR="00BF0D56">
        <w:rPr>
          <w:rFonts w:cstheme="minorHAnsi"/>
          <w:b/>
          <w:bCs/>
        </w:rPr>
        <w:t>P</w:t>
      </w:r>
      <w:r w:rsidRPr="00A14BBE">
        <w:rPr>
          <w:rFonts w:cstheme="minorHAnsi"/>
          <w:b/>
          <w:bCs/>
        </w:rPr>
        <w:t xml:space="preserve">oints </w:t>
      </w:r>
      <w:r w:rsidR="00BF0D56">
        <w:rPr>
          <w:rFonts w:cstheme="minorHAnsi"/>
          <w:b/>
          <w:bCs/>
        </w:rPr>
        <w:t>P</w:t>
      </w:r>
      <w:r w:rsidRPr="00A14BBE">
        <w:rPr>
          <w:rFonts w:cstheme="minorHAnsi"/>
          <w:b/>
          <w:bCs/>
        </w:rPr>
        <w:t xml:space="preserve">rescribed </w:t>
      </w:r>
      <w:r w:rsidR="00E2028C">
        <w:rPr>
          <w:rFonts w:cstheme="minorHAnsi"/>
          <w:b/>
          <w:bCs/>
        </w:rPr>
        <w:t>for</w:t>
      </w:r>
      <w:r w:rsidRPr="00A14BBE">
        <w:rPr>
          <w:rFonts w:cstheme="minorHAnsi"/>
          <w:b/>
          <w:bCs/>
        </w:rPr>
        <w:t xml:space="preserve"> </w:t>
      </w:r>
      <w:r w:rsidR="009E57EE">
        <w:rPr>
          <w:rFonts w:cstheme="minorHAnsi"/>
          <w:b/>
          <w:bCs/>
        </w:rPr>
        <w:t>P</w:t>
      </w:r>
      <w:r w:rsidRPr="00A14BBE">
        <w:rPr>
          <w:rFonts w:cstheme="minorHAnsi"/>
          <w:b/>
          <w:bCs/>
        </w:rPr>
        <w:t xml:space="preserve">ostoperative </w:t>
      </w:r>
      <w:r w:rsidR="009E57EE">
        <w:rPr>
          <w:rFonts w:cstheme="minorHAnsi"/>
          <w:b/>
          <w:bCs/>
        </w:rPr>
        <w:t>C</w:t>
      </w:r>
      <w:r w:rsidRPr="00A14BBE">
        <w:rPr>
          <w:rFonts w:cstheme="minorHAnsi"/>
          <w:b/>
          <w:bCs/>
        </w:rPr>
        <w:t xml:space="preserve">ognitive </w:t>
      </w:r>
      <w:r w:rsidR="009E57EE">
        <w:rPr>
          <w:rFonts w:cstheme="minorHAnsi"/>
          <w:b/>
          <w:bCs/>
        </w:rPr>
        <w:t>D</w:t>
      </w:r>
      <w:r w:rsidRPr="00A14BBE">
        <w:rPr>
          <w:rFonts w:cstheme="minorHAnsi"/>
          <w:b/>
          <w:bCs/>
        </w:rPr>
        <w:t>ysfunction/</w:t>
      </w:r>
      <w:r w:rsidR="009E57EE">
        <w:rPr>
          <w:rFonts w:cstheme="minorHAnsi"/>
          <w:b/>
          <w:bCs/>
        </w:rPr>
        <w:t>D</w:t>
      </w:r>
      <w:r w:rsidRPr="00A14BBE">
        <w:rPr>
          <w:rFonts w:cstheme="minorHAnsi"/>
          <w:b/>
          <w:bCs/>
        </w:rPr>
        <w:t xml:space="preserve">elirium – a </w:t>
      </w:r>
      <w:r w:rsidR="009E57EE">
        <w:rPr>
          <w:rFonts w:cstheme="minorHAnsi"/>
          <w:b/>
          <w:bCs/>
        </w:rPr>
        <w:t>D</w:t>
      </w:r>
      <w:r w:rsidRPr="00A14BBE">
        <w:rPr>
          <w:rFonts w:cstheme="minorHAnsi"/>
          <w:b/>
          <w:bCs/>
        </w:rPr>
        <w:t xml:space="preserve">ata </w:t>
      </w:r>
      <w:r w:rsidR="009E57EE">
        <w:rPr>
          <w:rFonts w:cstheme="minorHAnsi"/>
          <w:b/>
          <w:bCs/>
        </w:rPr>
        <w:t>M</w:t>
      </w:r>
      <w:r w:rsidRPr="00A14BBE">
        <w:rPr>
          <w:rFonts w:cstheme="minorHAnsi"/>
          <w:b/>
          <w:bCs/>
        </w:rPr>
        <w:t xml:space="preserve">ining </w:t>
      </w:r>
      <w:r w:rsidR="009E57EE">
        <w:rPr>
          <w:rFonts w:cstheme="minorHAnsi"/>
          <w:b/>
          <w:bCs/>
        </w:rPr>
        <w:t>S</w:t>
      </w:r>
      <w:r w:rsidRPr="00A14BBE">
        <w:rPr>
          <w:rFonts w:cstheme="minorHAnsi"/>
          <w:b/>
          <w:bCs/>
        </w:rPr>
        <w:t>tudy</w:t>
      </w:r>
    </w:p>
    <w:p w14:paraId="1423783B" w14:textId="77777777" w:rsidR="00741721" w:rsidRPr="00101CE7" w:rsidRDefault="00741721" w:rsidP="00741721">
      <w:pPr>
        <w:rPr>
          <w:rFonts w:ascii="Calibri" w:hAnsi="Calibri" w:cs="Calibri"/>
          <w:b/>
          <w:bCs/>
        </w:rPr>
      </w:pPr>
      <w:r w:rsidRPr="00101CE7">
        <w:rPr>
          <w:rFonts w:ascii="Calibri" w:hAnsi="Calibri" w:cs="Calibri"/>
          <w:b/>
          <w:bCs/>
        </w:rPr>
        <w:t>Introduction:</w:t>
      </w:r>
    </w:p>
    <w:p w14:paraId="2FC822D6" w14:textId="388102D7" w:rsidR="00741721" w:rsidRPr="00101CE7" w:rsidRDefault="00741721" w:rsidP="00741721">
      <w:pPr>
        <w:rPr>
          <w:rFonts w:ascii="Calibri" w:hAnsi="Calibri" w:cs="Calibri"/>
        </w:rPr>
      </w:pPr>
      <w:r w:rsidRPr="00101CE7">
        <w:rPr>
          <w:rFonts w:ascii="Calibri" w:hAnsi="Calibri" w:cs="Calibri"/>
        </w:rPr>
        <w:t xml:space="preserve">Postoperative cognitive dysfunction (POCD) and postoperative delirium (POD) are common post-surgical complications. POD usually occurs </w:t>
      </w:r>
      <w:r w:rsidR="00386C26">
        <w:rPr>
          <w:rFonts w:ascii="Calibri" w:hAnsi="Calibri" w:cs="Calibri"/>
        </w:rPr>
        <w:t>two to three days</w:t>
      </w:r>
      <w:r w:rsidRPr="00101CE7">
        <w:rPr>
          <w:rFonts w:ascii="Calibri" w:hAnsi="Calibri" w:cs="Calibri"/>
        </w:rPr>
        <w:t xml:space="preserve"> after surgery while POCD is seen </w:t>
      </w:r>
      <w:r w:rsidR="00E5390D">
        <w:rPr>
          <w:rFonts w:ascii="Calibri" w:hAnsi="Calibri" w:cs="Calibri"/>
        </w:rPr>
        <w:t xml:space="preserve">much later, </w:t>
      </w:r>
      <w:r w:rsidRPr="00101CE7">
        <w:rPr>
          <w:rFonts w:ascii="Calibri" w:hAnsi="Calibri" w:cs="Calibri"/>
        </w:rPr>
        <w:t xml:space="preserve">weeks after and </w:t>
      </w:r>
      <w:r w:rsidR="00E5390D">
        <w:rPr>
          <w:rFonts w:ascii="Calibri" w:hAnsi="Calibri" w:cs="Calibri"/>
        </w:rPr>
        <w:t xml:space="preserve">can </w:t>
      </w:r>
      <w:r w:rsidRPr="00101CE7">
        <w:rPr>
          <w:rFonts w:ascii="Calibri" w:hAnsi="Calibri" w:cs="Calibri"/>
        </w:rPr>
        <w:t>last</w:t>
      </w:r>
      <w:r w:rsidR="00E5390D">
        <w:rPr>
          <w:rFonts w:ascii="Calibri" w:hAnsi="Calibri" w:cs="Calibri"/>
        </w:rPr>
        <w:t xml:space="preserve"> </w:t>
      </w:r>
      <w:r w:rsidRPr="00101CE7">
        <w:rPr>
          <w:rFonts w:ascii="Calibri" w:hAnsi="Calibri" w:cs="Calibri"/>
        </w:rPr>
        <w:t xml:space="preserve">longer. Acupuncture has been used to prevent </w:t>
      </w:r>
      <w:r w:rsidR="0077096E">
        <w:rPr>
          <w:rFonts w:ascii="Calibri" w:hAnsi="Calibri" w:cs="Calibri"/>
        </w:rPr>
        <w:t xml:space="preserve">and treat </w:t>
      </w:r>
      <w:r w:rsidRPr="00101CE7">
        <w:rPr>
          <w:rFonts w:ascii="Calibri" w:hAnsi="Calibri" w:cs="Calibri"/>
        </w:rPr>
        <w:t>POCD and POD. The goal of this study was to use data mining by collecting all available published articles to identify the</w:t>
      </w:r>
      <w:r w:rsidR="0077096E">
        <w:rPr>
          <w:rFonts w:ascii="Calibri" w:hAnsi="Calibri" w:cs="Calibri"/>
        </w:rPr>
        <w:t xml:space="preserve"> common prescriptions </w:t>
      </w:r>
      <w:r w:rsidRPr="00101CE7">
        <w:rPr>
          <w:rFonts w:ascii="Calibri" w:hAnsi="Calibri" w:cs="Calibri"/>
        </w:rPr>
        <w:t>of acupuncture points used in preventi</w:t>
      </w:r>
      <w:r w:rsidR="0077096E">
        <w:rPr>
          <w:rFonts w:ascii="Calibri" w:hAnsi="Calibri" w:cs="Calibri"/>
        </w:rPr>
        <w:t xml:space="preserve">on and treatment </w:t>
      </w:r>
      <w:r w:rsidRPr="00101CE7">
        <w:rPr>
          <w:rFonts w:ascii="Calibri" w:hAnsi="Calibri" w:cs="Calibri"/>
        </w:rPr>
        <w:t>of POCD and POD in the adult population.</w:t>
      </w:r>
    </w:p>
    <w:p w14:paraId="2BED3672" w14:textId="5B82D5F6" w:rsidR="00741721" w:rsidRPr="00101CE7" w:rsidRDefault="00741721" w:rsidP="00741721">
      <w:pPr>
        <w:rPr>
          <w:rFonts w:ascii="Calibri" w:hAnsi="Calibri" w:cs="Calibri"/>
          <w:b/>
          <w:bCs/>
        </w:rPr>
      </w:pPr>
      <w:r w:rsidRPr="00101CE7">
        <w:rPr>
          <w:rFonts w:ascii="Calibri" w:hAnsi="Calibri" w:cs="Calibri"/>
          <w:b/>
          <w:bCs/>
        </w:rPr>
        <w:t>Methods:</w:t>
      </w:r>
    </w:p>
    <w:p w14:paraId="464E90ED" w14:textId="0E36141A" w:rsidR="00741721" w:rsidRPr="00101CE7" w:rsidRDefault="00741721" w:rsidP="00741721">
      <w:pPr>
        <w:rPr>
          <w:rFonts w:ascii="Calibri" w:hAnsi="Calibri" w:cs="Calibri"/>
        </w:rPr>
      </w:pPr>
      <w:r w:rsidRPr="00101CE7">
        <w:rPr>
          <w:rFonts w:ascii="Calibri" w:hAnsi="Calibri" w:cs="Calibri"/>
        </w:rPr>
        <w:t xml:space="preserve">A search was conducted for all articles using </w:t>
      </w:r>
      <w:r w:rsidR="0077096E">
        <w:rPr>
          <w:rFonts w:ascii="Calibri" w:hAnsi="Calibri" w:cs="Calibri"/>
        </w:rPr>
        <w:t xml:space="preserve">perioperative </w:t>
      </w:r>
      <w:r w:rsidRPr="00101CE7">
        <w:rPr>
          <w:rFonts w:ascii="Calibri" w:hAnsi="Calibri" w:cs="Calibri"/>
        </w:rPr>
        <w:t>acupuncture in post</w:t>
      </w:r>
      <w:r w:rsidR="0077096E">
        <w:rPr>
          <w:rFonts w:ascii="Calibri" w:hAnsi="Calibri" w:cs="Calibri"/>
        </w:rPr>
        <w:t>-</w:t>
      </w:r>
      <w:r w:rsidRPr="00101CE7">
        <w:rPr>
          <w:rFonts w:ascii="Calibri" w:hAnsi="Calibri" w:cs="Calibri"/>
        </w:rPr>
        <w:t>operative cognitive dysfunction (POCD) and postoperative delirium (POD). PubMed, Scopus, and Google Scholar databases were utilized. Only articles from 2018-2023 were included. Limits applied to database search</w:t>
      </w:r>
      <w:r w:rsidR="0077096E">
        <w:rPr>
          <w:rFonts w:ascii="Calibri" w:hAnsi="Calibri" w:cs="Calibri"/>
        </w:rPr>
        <w:t xml:space="preserve"> included</w:t>
      </w:r>
      <w:r w:rsidRPr="00101CE7">
        <w:rPr>
          <w:rFonts w:ascii="Calibri" w:hAnsi="Calibri" w:cs="Calibri"/>
        </w:rPr>
        <w:t xml:space="preserve">: final articles, </w:t>
      </w:r>
      <w:r w:rsidR="0077096E">
        <w:rPr>
          <w:rFonts w:ascii="Calibri" w:hAnsi="Calibri" w:cs="Calibri"/>
        </w:rPr>
        <w:t xml:space="preserve">randomized </w:t>
      </w:r>
      <w:r w:rsidRPr="00101CE7">
        <w:rPr>
          <w:rFonts w:ascii="Calibri" w:hAnsi="Calibri" w:cs="Calibri"/>
        </w:rPr>
        <w:t xml:space="preserve">controlled </w:t>
      </w:r>
      <w:r w:rsidR="0077096E">
        <w:rPr>
          <w:rFonts w:ascii="Calibri" w:hAnsi="Calibri" w:cs="Calibri"/>
        </w:rPr>
        <w:t>clinical trials</w:t>
      </w:r>
      <w:r w:rsidRPr="00101CE7">
        <w:rPr>
          <w:rFonts w:ascii="Calibri" w:hAnsi="Calibri" w:cs="Calibri"/>
        </w:rPr>
        <w:t xml:space="preserve">, adult, and human subjects. Duplicates were removed using Refworks initially. Manual screening for the most relevant articles </w:t>
      </w:r>
      <w:r w:rsidR="0077096E">
        <w:rPr>
          <w:rFonts w:ascii="Calibri" w:hAnsi="Calibri" w:cs="Calibri"/>
        </w:rPr>
        <w:t xml:space="preserve">and </w:t>
      </w:r>
      <w:r w:rsidRPr="00101CE7">
        <w:rPr>
          <w:rFonts w:ascii="Calibri" w:hAnsi="Calibri" w:cs="Calibri"/>
        </w:rPr>
        <w:t>removal of missed duplicates was done for final selection</w:t>
      </w:r>
      <w:r w:rsidR="00D168BE">
        <w:rPr>
          <w:rFonts w:ascii="Calibri" w:hAnsi="Calibri" w:cs="Calibri"/>
        </w:rPr>
        <w:t>.</w:t>
      </w:r>
    </w:p>
    <w:p w14:paraId="4F1AA1F3" w14:textId="77777777" w:rsidR="00741721" w:rsidRPr="00101CE7" w:rsidRDefault="00741721" w:rsidP="00741721">
      <w:pPr>
        <w:rPr>
          <w:rFonts w:ascii="Calibri" w:hAnsi="Calibri" w:cs="Calibri"/>
          <w:b/>
          <w:bCs/>
        </w:rPr>
      </w:pPr>
      <w:r w:rsidRPr="00101CE7">
        <w:rPr>
          <w:rFonts w:ascii="Calibri" w:hAnsi="Calibri" w:cs="Calibri"/>
          <w:b/>
          <w:bCs/>
        </w:rPr>
        <w:t>Results:</w:t>
      </w:r>
    </w:p>
    <w:p w14:paraId="4BC3B68D" w14:textId="0E29321E" w:rsidR="00741721" w:rsidRPr="0077096E" w:rsidRDefault="00741721" w:rsidP="00741721">
      <w:pPr>
        <w:rPr>
          <w:rFonts w:ascii="Calibri" w:hAnsi="Calibri" w:cs="Calibri"/>
          <w:color w:val="FF0000"/>
        </w:rPr>
      </w:pPr>
      <w:r w:rsidRPr="00101CE7">
        <w:rPr>
          <w:rFonts w:ascii="Calibri" w:hAnsi="Calibri" w:cs="Calibri"/>
        </w:rPr>
        <w:t xml:space="preserve">A total of 5070 articles resulted during the initial search (261-Scopus, 2749-Pubmed, 2060-Google Scholar). Results were narrowed to 581 after filters were applied. Out of the 70 most relevant articles selected, 29 were included for data mining. A total of 60 acupuncture points were found. The top acupoints </w:t>
      </w:r>
      <w:r w:rsidR="0077096E">
        <w:rPr>
          <w:rFonts w:ascii="Calibri" w:hAnsi="Calibri" w:cs="Calibri"/>
        </w:rPr>
        <w:t xml:space="preserve">prescribed </w:t>
      </w:r>
      <w:r w:rsidRPr="00101CE7">
        <w:rPr>
          <w:rFonts w:ascii="Calibri" w:hAnsi="Calibri" w:cs="Calibri"/>
        </w:rPr>
        <w:t>were: PC6 (Neiguan), GV20 (Baihui), St36 (Zusanli), LI4 (Hegu), GV24 (Shenting), SP6 (Sanjinjiao), HT7 (Shenmen), GV29 (Yintang), LI11 (Qu chi), GV14 (Dazhui), Ex-HN1 (Shishencong), and LR3 (Taichong</w:t>
      </w:r>
      <w:r w:rsidR="006C6E12">
        <w:rPr>
          <w:rFonts w:ascii="Calibri" w:hAnsi="Calibri" w:cs="Calibri"/>
        </w:rPr>
        <w:t>).</w:t>
      </w:r>
    </w:p>
    <w:p w14:paraId="2E3F1FCE" w14:textId="77777777" w:rsidR="00741721" w:rsidRPr="00101CE7" w:rsidRDefault="00741721" w:rsidP="00741721">
      <w:pPr>
        <w:rPr>
          <w:rFonts w:ascii="Calibri" w:hAnsi="Calibri" w:cs="Calibri"/>
          <w:b/>
          <w:bCs/>
        </w:rPr>
      </w:pPr>
      <w:r w:rsidRPr="00101CE7">
        <w:rPr>
          <w:rFonts w:ascii="Calibri" w:hAnsi="Calibri" w:cs="Calibri"/>
          <w:b/>
          <w:bCs/>
        </w:rPr>
        <w:t>Conclusion:</w:t>
      </w:r>
    </w:p>
    <w:p w14:paraId="46B400D8" w14:textId="77777777" w:rsidR="00741721" w:rsidRPr="00101CE7" w:rsidRDefault="00741721" w:rsidP="00741721">
      <w:pPr>
        <w:rPr>
          <w:rFonts w:ascii="Calibri" w:hAnsi="Calibri" w:cs="Calibri"/>
        </w:rPr>
      </w:pPr>
      <w:r w:rsidRPr="00101CE7">
        <w:rPr>
          <w:rFonts w:ascii="Calibri" w:hAnsi="Calibri" w:cs="Calibri"/>
        </w:rPr>
        <w:t xml:space="preserve">Through data mining, the most common acupoints </w:t>
      </w:r>
      <w:r w:rsidR="0077096E">
        <w:rPr>
          <w:rFonts w:ascii="Calibri" w:hAnsi="Calibri" w:cs="Calibri"/>
        </w:rPr>
        <w:t xml:space="preserve">prescribed </w:t>
      </w:r>
      <w:r w:rsidRPr="00101CE7">
        <w:rPr>
          <w:rFonts w:ascii="Calibri" w:hAnsi="Calibri" w:cs="Calibri"/>
        </w:rPr>
        <w:t xml:space="preserve">for POCD and POD were identified. Use of acupuncture in </w:t>
      </w:r>
      <w:r w:rsidR="0077096E">
        <w:rPr>
          <w:rFonts w:ascii="Calibri" w:hAnsi="Calibri" w:cs="Calibri"/>
        </w:rPr>
        <w:t>preventing</w:t>
      </w:r>
      <w:r w:rsidRPr="00101CE7">
        <w:rPr>
          <w:rFonts w:ascii="Calibri" w:hAnsi="Calibri" w:cs="Calibri"/>
        </w:rPr>
        <w:t xml:space="preserve"> </w:t>
      </w:r>
      <w:r w:rsidR="0077096E">
        <w:rPr>
          <w:rFonts w:ascii="Calibri" w:hAnsi="Calibri" w:cs="Calibri"/>
        </w:rPr>
        <w:t xml:space="preserve">and treating </w:t>
      </w:r>
      <w:r w:rsidRPr="00101CE7">
        <w:rPr>
          <w:rFonts w:ascii="Calibri" w:hAnsi="Calibri" w:cs="Calibri"/>
        </w:rPr>
        <w:t>POD and POCD has potential to improve patient post-surgical recovery and decrease healthcare cost. Future directions lead to exploration of top acupoints via ultrasound guided technique and further educating providers to increase knowledge and prescription of acupuncture.</w:t>
      </w:r>
    </w:p>
    <w:p w14:paraId="4378EBF9" w14:textId="43B0541B" w:rsidR="00A22342" w:rsidRPr="00780658" w:rsidRDefault="00780658">
      <w:pPr>
        <w:rPr>
          <w:rFonts w:cstheme="minorHAnsi"/>
          <w:b/>
          <w:bCs/>
        </w:rPr>
      </w:pPr>
      <w:r w:rsidRPr="00A14BBE">
        <w:rPr>
          <w:rFonts w:cstheme="minorHAnsi"/>
          <w:b/>
          <w:bCs/>
        </w:rPr>
        <w:t xml:space="preserve">The </w:t>
      </w:r>
      <w:r>
        <w:rPr>
          <w:rFonts w:cstheme="minorHAnsi"/>
          <w:b/>
          <w:bCs/>
        </w:rPr>
        <w:t>M</w:t>
      </w:r>
      <w:r w:rsidRPr="00A14BBE">
        <w:rPr>
          <w:rFonts w:cstheme="minorHAnsi"/>
          <w:b/>
          <w:bCs/>
        </w:rPr>
        <w:t xml:space="preserve">ost </w:t>
      </w:r>
      <w:r>
        <w:rPr>
          <w:rFonts w:cstheme="minorHAnsi"/>
          <w:b/>
          <w:bCs/>
        </w:rPr>
        <w:t>C</w:t>
      </w:r>
      <w:r w:rsidRPr="00A14BBE">
        <w:rPr>
          <w:rFonts w:cstheme="minorHAnsi"/>
          <w:b/>
          <w:bCs/>
        </w:rPr>
        <w:t xml:space="preserve">ommon </w:t>
      </w:r>
      <w:r>
        <w:rPr>
          <w:rFonts w:cstheme="minorHAnsi"/>
          <w:b/>
          <w:bCs/>
        </w:rPr>
        <w:t>A</w:t>
      </w:r>
      <w:r w:rsidRPr="00A14BBE">
        <w:rPr>
          <w:rFonts w:cstheme="minorHAnsi"/>
          <w:b/>
          <w:bCs/>
        </w:rPr>
        <w:t xml:space="preserve">cupuncture </w:t>
      </w:r>
      <w:r>
        <w:rPr>
          <w:rFonts w:cstheme="minorHAnsi"/>
          <w:b/>
          <w:bCs/>
        </w:rPr>
        <w:t>P</w:t>
      </w:r>
      <w:r w:rsidRPr="00A14BBE">
        <w:rPr>
          <w:rFonts w:cstheme="minorHAnsi"/>
          <w:b/>
          <w:bCs/>
        </w:rPr>
        <w:t xml:space="preserve">oints </w:t>
      </w:r>
      <w:r>
        <w:rPr>
          <w:rFonts w:cstheme="minorHAnsi"/>
          <w:b/>
          <w:bCs/>
        </w:rPr>
        <w:t>P</w:t>
      </w:r>
      <w:r w:rsidRPr="00A14BBE">
        <w:rPr>
          <w:rFonts w:cstheme="minorHAnsi"/>
          <w:b/>
          <w:bCs/>
        </w:rPr>
        <w:t xml:space="preserve">rescribed </w:t>
      </w:r>
      <w:r w:rsidR="00F1075D">
        <w:rPr>
          <w:rFonts w:cstheme="minorHAnsi"/>
          <w:b/>
          <w:bCs/>
        </w:rPr>
        <w:t>for</w:t>
      </w:r>
      <w:r w:rsidRPr="00A14BB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P</w:t>
      </w:r>
      <w:r w:rsidRPr="00A14BBE">
        <w:rPr>
          <w:rFonts w:cstheme="minorHAnsi"/>
          <w:b/>
          <w:bCs/>
        </w:rPr>
        <w:t xml:space="preserve">ostoperative </w:t>
      </w:r>
      <w:r>
        <w:rPr>
          <w:rFonts w:cstheme="minorHAnsi"/>
          <w:b/>
          <w:bCs/>
        </w:rPr>
        <w:t>C</w:t>
      </w:r>
      <w:r w:rsidRPr="00A14BBE">
        <w:rPr>
          <w:rFonts w:cstheme="minorHAnsi"/>
          <w:b/>
          <w:bCs/>
        </w:rPr>
        <w:t xml:space="preserve">ognitive </w:t>
      </w:r>
      <w:r>
        <w:rPr>
          <w:rFonts w:cstheme="minorHAnsi"/>
          <w:b/>
          <w:bCs/>
        </w:rPr>
        <w:t>D</w:t>
      </w:r>
      <w:r w:rsidRPr="00A14BBE">
        <w:rPr>
          <w:rFonts w:cstheme="minorHAnsi"/>
          <w:b/>
          <w:bCs/>
        </w:rPr>
        <w:t>ysfunction/</w:t>
      </w:r>
      <w:r>
        <w:rPr>
          <w:rFonts w:cstheme="minorHAnsi"/>
          <w:b/>
          <w:bCs/>
        </w:rPr>
        <w:t>D</w:t>
      </w:r>
      <w:r w:rsidRPr="00A14BBE">
        <w:rPr>
          <w:rFonts w:cstheme="minorHAnsi"/>
          <w:b/>
          <w:bCs/>
        </w:rPr>
        <w:t xml:space="preserve">elirium – a </w:t>
      </w:r>
      <w:r>
        <w:rPr>
          <w:rFonts w:cstheme="minorHAnsi"/>
          <w:b/>
          <w:bCs/>
        </w:rPr>
        <w:t>D</w:t>
      </w:r>
      <w:r w:rsidRPr="00A14BBE">
        <w:rPr>
          <w:rFonts w:cstheme="minorHAnsi"/>
          <w:b/>
          <w:bCs/>
        </w:rPr>
        <w:t xml:space="preserve">ata </w:t>
      </w:r>
      <w:r>
        <w:rPr>
          <w:rFonts w:cstheme="minorHAnsi"/>
          <w:b/>
          <w:bCs/>
        </w:rPr>
        <w:t>M</w:t>
      </w:r>
      <w:r w:rsidRPr="00A14BBE">
        <w:rPr>
          <w:rFonts w:cstheme="minorHAnsi"/>
          <w:b/>
          <w:bCs/>
        </w:rPr>
        <w:t xml:space="preserve">ining </w:t>
      </w:r>
      <w:r>
        <w:rPr>
          <w:rFonts w:cstheme="minorHAnsi"/>
          <w:b/>
          <w:bCs/>
        </w:rPr>
        <w:t>S</w:t>
      </w:r>
      <w:r w:rsidRPr="00A14BBE">
        <w:rPr>
          <w:rFonts w:cstheme="minorHAnsi"/>
          <w:b/>
          <w:bCs/>
        </w:rPr>
        <w:t>tudy</w:t>
      </w:r>
    </w:p>
    <w:p w14:paraId="76D64969" w14:textId="77777777" w:rsidR="00631DC0" w:rsidRPr="00631DC0" w:rsidRDefault="00631DC0" w:rsidP="00631DC0">
      <w:r w:rsidRPr="00631DC0">
        <w:t>KRISTA RUNCIE, BS</w:t>
      </w:r>
      <w:r w:rsidRPr="00631DC0">
        <w:rPr>
          <w:vertAlign w:val="superscript"/>
        </w:rPr>
        <w:t>1</w:t>
      </w:r>
      <w:r w:rsidRPr="00631DC0">
        <w:t>, Shu-Ming Wang, MD</w:t>
      </w:r>
      <w:r w:rsidRPr="00631DC0">
        <w:rPr>
          <w:vertAlign w:val="superscript"/>
        </w:rPr>
        <w:t>2</w:t>
      </w:r>
      <w:r w:rsidRPr="00631DC0">
        <w:t>, Maureen Helgren, PhD</w:t>
      </w:r>
      <w:r w:rsidRPr="00631DC0">
        <w:rPr>
          <w:vertAlign w:val="superscript"/>
        </w:rPr>
        <w:t>3</w:t>
      </w:r>
    </w:p>
    <w:p w14:paraId="15CB46AB" w14:textId="77777777" w:rsidR="00631DC0" w:rsidRPr="00631DC0" w:rsidRDefault="00631DC0" w:rsidP="00631DC0">
      <w:r w:rsidRPr="00631DC0">
        <w:rPr>
          <w:vertAlign w:val="superscript"/>
        </w:rPr>
        <w:t>1</w:t>
      </w:r>
      <w:r w:rsidRPr="00631DC0">
        <w:t>Quinnipiac University Frank H. Netter MD School of Medicine, North Haven, CT</w:t>
      </w:r>
    </w:p>
    <w:p w14:paraId="3262DBF9" w14:textId="77777777" w:rsidR="00631DC0" w:rsidRPr="00631DC0" w:rsidRDefault="00631DC0" w:rsidP="00631DC0">
      <w:r w:rsidRPr="00631DC0">
        <w:rPr>
          <w:vertAlign w:val="superscript"/>
        </w:rPr>
        <w:t>2</w:t>
      </w:r>
      <w:r w:rsidRPr="00631DC0">
        <w:t>Woodland Anesthesiology Associates PC, St. Francis Hospital and Medical Center, Hartford, CT</w:t>
      </w:r>
    </w:p>
    <w:p w14:paraId="159DAEBC" w14:textId="77777777" w:rsidR="00631DC0" w:rsidRPr="00631DC0" w:rsidRDefault="00631DC0" w:rsidP="00631DC0">
      <w:r w:rsidRPr="00631DC0">
        <w:t>Department of Anesthesiology, University of Connecticut, Farmington, CT</w:t>
      </w:r>
    </w:p>
    <w:p w14:paraId="5D451C84" w14:textId="77777777" w:rsidR="00631DC0" w:rsidRPr="00631DC0" w:rsidRDefault="00631DC0" w:rsidP="00631DC0">
      <w:r w:rsidRPr="00631DC0">
        <w:t xml:space="preserve">Department of Nurse Anesthetist, Quinnipiac University School of Nursing </w:t>
      </w:r>
    </w:p>
    <w:p w14:paraId="61E2766B" w14:textId="575282B0" w:rsidR="0077096E" w:rsidRDefault="00631DC0">
      <w:r w:rsidRPr="00631DC0">
        <w:rPr>
          <w:vertAlign w:val="superscript"/>
        </w:rPr>
        <w:lastRenderedPageBreak/>
        <w:t>3</w:t>
      </w:r>
      <w:r w:rsidRPr="00631DC0">
        <w:t>Medicine Department, Quinnipiac University Frank H. Netter MD School of Medicine, North Haven, C</w:t>
      </w:r>
      <w:r w:rsidR="00AF3CE6">
        <w:t>T</w:t>
      </w:r>
    </w:p>
    <w:sectPr w:rsidR="007709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6E"/>
    <w:rsid w:val="000076C3"/>
    <w:rsid w:val="000140E9"/>
    <w:rsid w:val="000A6C4E"/>
    <w:rsid w:val="000F0EEB"/>
    <w:rsid w:val="00134756"/>
    <w:rsid w:val="00146184"/>
    <w:rsid w:val="002248B0"/>
    <w:rsid w:val="002454A4"/>
    <w:rsid w:val="00262FE9"/>
    <w:rsid w:val="002F384B"/>
    <w:rsid w:val="00344D09"/>
    <w:rsid w:val="00386C26"/>
    <w:rsid w:val="00391C1D"/>
    <w:rsid w:val="004065F5"/>
    <w:rsid w:val="00443E30"/>
    <w:rsid w:val="0062566C"/>
    <w:rsid w:val="00631DC0"/>
    <w:rsid w:val="006376F6"/>
    <w:rsid w:val="006A3190"/>
    <w:rsid w:val="006C6E12"/>
    <w:rsid w:val="006F3132"/>
    <w:rsid w:val="007043E4"/>
    <w:rsid w:val="00741721"/>
    <w:rsid w:val="0077096E"/>
    <w:rsid w:val="00780658"/>
    <w:rsid w:val="0080564B"/>
    <w:rsid w:val="00852343"/>
    <w:rsid w:val="008575A0"/>
    <w:rsid w:val="008C6848"/>
    <w:rsid w:val="009E57EE"/>
    <w:rsid w:val="00A01B70"/>
    <w:rsid w:val="00A14BBE"/>
    <w:rsid w:val="00A22342"/>
    <w:rsid w:val="00A67372"/>
    <w:rsid w:val="00A80AAA"/>
    <w:rsid w:val="00A94BBD"/>
    <w:rsid w:val="00AF3CE6"/>
    <w:rsid w:val="00B21B72"/>
    <w:rsid w:val="00B5613C"/>
    <w:rsid w:val="00B579F9"/>
    <w:rsid w:val="00B62315"/>
    <w:rsid w:val="00BC23BD"/>
    <w:rsid w:val="00BF0D56"/>
    <w:rsid w:val="00D168BE"/>
    <w:rsid w:val="00DE6B92"/>
    <w:rsid w:val="00E1585C"/>
    <w:rsid w:val="00E2028C"/>
    <w:rsid w:val="00E5390D"/>
    <w:rsid w:val="00EC2E6E"/>
    <w:rsid w:val="00ED0F20"/>
    <w:rsid w:val="00F1075D"/>
    <w:rsid w:val="00FC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89FEB"/>
  <w15:chartTrackingRefBased/>
  <w15:docId w15:val="{18016DC8-15C8-0646-9C57-FB43F29E3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6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Shu-Ming Prof.</dc:creator>
  <cp:keywords/>
  <dc:description/>
  <cp:lastModifiedBy>Runcie, Krista A.</cp:lastModifiedBy>
  <cp:revision>2</cp:revision>
  <dcterms:created xsi:type="dcterms:W3CDTF">2023-09-15T02:50:00Z</dcterms:created>
  <dcterms:modified xsi:type="dcterms:W3CDTF">2023-09-15T02:50:00Z</dcterms:modified>
</cp:coreProperties>
</file>