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C66E5" w14:textId="146FD419" w:rsidR="00A10F90" w:rsidRDefault="00A10F9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8571C">
        <w:rPr>
          <w:rFonts w:ascii="Times New Roman" w:hAnsi="Times New Roman" w:cs="Times New Roman"/>
          <w:b/>
          <w:bCs/>
          <w:sz w:val="28"/>
          <w:szCs w:val="28"/>
        </w:rPr>
        <w:t xml:space="preserve">Compliance of Venous Thrombo-Embolism (VTE) prophylaxis post UGI oncological operations </w:t>
      </w:r>
      <w:r w:rsidR="00A677DB" w:rsidRPr="0058571C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D64CC6" w:rsidRPr="005857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677DB" w:rsidRPr="0058571C">
        <w:rPr>
          <w:rFonts w:ascii="Times New Roman" w:hAnsi="Times New Roman" w:cs="Times New Roman"/>
          <w:b/>
          <w:bCs/>
          <w:sz w:val="28"/>
          <w:szCs w:val="28"/>
        </w:rPr>
        <w:t>Complete</w:t>
      </w:r>
      <w:r w:rsidR="00421E13" w:rsidRPr="0058571C"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="00A677DB" w:rsidRPr="0058571C">
        <w:rPr>
          <w:rFonts w:ascii="Times New Roman" w:hAnsi="Times New Roman" w:cs="Times New Roman"/>
          <w:b/>
          <w:bCs/>
          <w:sz w:val="28"/>
          <w:szCs w:val="28"/>
        </w:rPr>
        <w:t xml:space="preserve"> audit cycle</w:t>
      </w:r>
    </w:p>
    <w:p w14:paraId="2128749D" w14:textId="280E60FC" w:rsidR="0058571C" w:rsidRDefault="0058571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AB74FE" w14:textId="682438C3" w:rsidR="0058571C" w:rsidRDefault="0058571C">
      <w:pPr>
        <w:rPr>
          <w:rFonts w:ascii="Times New Roman" w:hAnsi="Times New Roman" w:cs="Times New Roman"/>
          <w:sz w:val="28"/>
          <w:szCs w:val="28"/>
        </w:rPr>
      </w:pPr>
      <w:r w:rsidRPr="0058571C">
        <w:rPr>
          <w:rFonts w:ascii="Times New Roman" w:hAnsi="Times New Roman" w:cs="Times New Roman"/>
          <w:sz w:val="28"/>
          <w:szCs w:val="28"/>
        </w:rPr>
        <w:t>Ahmed Ammar, Lucy Brooks, Jo Broome</w:t>
      </w:r>
    </w:p>
    <w:p w14:paraId="50A2910B" w14:textId="26CA04A2" w:rsidR="0058571C" w:rsidRPr="0058571C" w:rsidRDefault="0058571C">
      <w:pPr>
        <w:rPr>
          <w:rFonts w:ascii="Times New Roman" w:hAnsi="Times New Roman" w:cs="Times New Roman"/>
          <w:i/>
          <w:iCs w:val="0"/>
          <w:sz w:val="28"/>
          <w:szCs w:val="28"/>
        </w:rPr>
      </w:pPr>
      <w:r w:rsidRPr="0058571C">
        <w:rPr>
          <w:rFonts w:ascii="Times New Roman" w:hAnsi="Times New Roman" w:cs="Times New Roman"/>
          <w:i/>
          <w:iCs w:val="0"/>
          <w:sz w:val="28"/>
          <w:szCs w:val="28"/>
        </w:rPr>
        <w:t>University Hospitals of Derby and Burton NHS Trust, UK</w:t>
      </w:r>
    </w:p>
    <w:p w14:paraId="777FCDC2" w14:textId="77777777" w:rsidR="00A10F90" w:rsidRPr="00D64CC6" w:rsidRDefault="00A10F90" w:rsidP="00A10F90">
      <w:pPr>
        <w:rPr>
          <w:rFonts w:ascii="Times New Roman" w:hAnsi="Times New Roman" w:cs="Times New Roman"/>
          <w:sz w:val="28"/>
          <w:szCs w:val="28"/>
        </w:rPr>
      </w:pPr>
    </w:p>
    <w:p w14:paraId="548695A1" w14:textId="77777777" w:rsidR="0058571C" w:rsidRPr="00632853" w:rsidRDefault="0058571C" w:rsidP="005857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32853">
        <w:rPr>
          <w:rFonts w:ascii="Times New Roman" w:hAnsi="Times New Roman" w:cs="Times New Roman"/>
          <w:b/>
          <w:bCs/>
          <w:sz w:val="28"/>
          <w:szCs w:val="28"/>
        </w:rPr>
        <w:t>Background</w:t>
      </w:r>
      <w:r w:rsidR="00A10F90" w:rsidRPr="0063285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A5A9D26" w14:textId="3513AD03" w:rsidR="00A10F90" w:rsidRPr="00632853" w:rsidRDefault="00A10F90" w:rsidP="0058571C">
      <w:pPr>
        <w:rPr>
          <w:rFonts w:ascii="Times New Roman" w:hAnsi="Times New Roman" w:cs="Times New Roman"/>
          <w:sz w:val="28"/>
          <w:szCs w:val="28"/>
        </w:rPr>
      </w:pPr>
      <w:r w:rsidRPr="00632853">
        <w:rPr>
          <w:rFonts w:ascii="Times New Roman" w:hAnsi="Times New Roman" w:cs="Times New Roman"/>
          <w:sz w:val="28"/>
          <w:szCs w:val="28"/>
        </w:rPr>
        <w:t>VTE is a major cause of death in hospitalised patients, with an increased incidence being seen following major surgery for oncological patients. Prevention of VTE is a patient safety measure, current UK guidelines advi</w:t>
      </w:r>
      <w:r w:rsidR="00D64CC6" w:rsidRPr="00632853">
        <w:rPr>
          <w:rFonts w:ascii="Times New Roman" w:hAnsi="Times New Roman" w:cs="Times New Roman"/>
          <w:sz w:val="28"/>
          <w:szCs w:val="28"/>
        </w:rPr>
        <w:t>s</w:t>
      </w:r>
      <w:r w:rsidRPr="00632853">
        <w:rPr>
          <w:rFonts w:ascii="Times New Roman" w:hAnsi="Times New Roman" w:cs="Times New Roman"/>
          <w:sz w:val="28"/>
          <w:szCs w:val="28"/>
        </w:rPr>
        <w:t xml:space="preserve">e 28 days of pharmacological anticoagulation post-operatively. We aim to assess compliance with prescribing of VTE prophylaxis </w:t>
      </w:r>
      <w:r w:rsidR="00632853">
        <w:rPr>
          <w:rFonts w:ascii="Times New Roman" w:hAnsi="Times New Roman" w:cs="Times New Roman"/>
          <w:sz w:val="28"/>
          <w:szCs w:val="28"/>
        </w:rPr>
        <w:t>o</w:t>
      </w:r>
      <w:r w:rsidRPr="00632853">
        <w:rPr>
          <w:rFonts w:ascii="Times New Roman" w:hAnsi="Times New Roman" w:cs="Times New Roman"/>
          <w:sz w:val="28"/>
          <w:szCs w:val="28"/>
        </w:rPr>
        <w:t xml:space="preserve">n operated UGI oncological patients. </w:t>
      </w:r>
    </w:p>
    <w:p w14:paraId="7BAE5074" w14:textId="760E8CE3" w:rsidR="00A10F90" w:rsidRPr="00632853" w:rsidRDefault="00A10F90" w:rsidP="00A10F90">
      <w:pPr>
        <w:rPr>
          <w:rFonts w:ascii="Times New Roman" w:hAnsi="Times New Roman" w:cs="Times New Roman"/>
          <w:sz w:val="28"/>
          <w:szCs w:val="28"/>
        </w:rPr>
      </w:pPr>
    </w:p>
    <w:p w14:paraId="5D4129CB" w14:textId="77777777" w:rsidR="0058571C" w:rsidRPr="00632853" w:rsidRDefault="00A10F90" w:rsidP="00A10F9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32853">
        <w:rPr>
          <w:rFonts w:ascii="Times New Roman" w:hAnsi="Times New Roman" w:cs="Times New Roman"/>
          <w:b/>
          <w:bCs/>
          <w:sz w:val="28"/>
          <w:szCs w:val="28"/>
        </w:rPr>
        <w:t>Methods:</w:t>
      </w:r>
    </w:p>
    <w:p w14:paraId="28C367C3" w14:textId="66EFADEE" w:rsidR="00A10F90" w:rsidRPr="00632853" w:rsidRDefault="00A10F90" w:rsidP="00A10F90">
      <w:pPr>
        <w:rPr>
          <w:rFonts w:ascii="Times New Roman" w:hAnsi="Times New Roman" w:cs="Times New Roman"/>
          <w:sz w:val="28"/>
          <w:szCs w:val="28"/>
        </w:rPr>
      </w:pPr>
      <w:r w:rsidRPr="00632853">
        <w:rPr>
          <w:rFonts w:ascii="Times New Roman" w:hAnsi="Times New Roman" w:cs="Times New Roman"/>
          <w:sz w:val="28"/>
          <w:szCs w:val="28"/>
        </w:rPr>
        <w:t>Electronic records of those</w:t>
      </w:r>
      <w:r w:rsidR="00CD4470" w:rsidRPr="00632853">
        <w:rPr>
          <w:rFonts w:ascii="Times New Roman" w:hAnsi="Times New Roman" w:cs="Times New Roman"/>
          <w:sz w:val="28"/>
          <w:szCs w:val="28"/>
        </w:rPr>
        <w:t xml:space="preserve"> who</w:t>
      </w:r>
      <w:r w:rsidRPr="00632853">
        <w:rPr>
          <w:rFonts w:ascii="Times New Roman" w:hAnsi="Times New Roman" w:cs="Times New Roman"/>
          <w:sz w:val="28"/>
          <w:szCs w:val="28"/>
        </w:rPr>
        <w:t xml:space="preserve"> under</w:t>
      </w:r>
      <w:r w:rsidR="00CD4470" w:rsidRPr="00632853">
        <w:rPr>
          <w:rFonts w:ascii="Times New Roman" w:hAnsi="Times New Roman" w:cs="Times New Roman"/>
          <w:sz w:val="28"/>
          <w:szCs w:val="28"/>
        </w:rPr>
        <w:t>went</w:t>
      </w:r>
      <w:r w:rsidRPr="006328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571C" w:rsidRPr="00632853">
        <w:rPr>
          <w:rFonts w:ascii="Times New Roman" w:hAnsi="Times New Roman" w:cs="Times New Roman"/>
          <w:sz w:val="28"/>
          <w:szCs w:val="28"/>
        </w:rPr>
        <w:t>o</w:t>
      </w:r>
      <w:r w:rsidRPr="00632853">
        <w:rPr>
          <w:rFonts w:ascii="Times New Roman" w:hAnsi="Times New Roman" w:cs="Times New Roman"/>
          <w:sz w:val="28"/>
          <w:szCs w:val="28"/>
        </w:rPr>
        <w:t>esophagectomy</w:t>
      </w:r>
      <w:proofErr w:type="spellEnd"/>
      <w:r w:rsidRPr="00632853">
        <w:rPr>
          <w:rFonts w:ascii="Times New Roman" w:hAnsi="Times New Roman" w:cs="Times New Roman"/>
          <w:sz w:val="28"/>
          <w:szCs w:val="28"/>
        </w:rPr>
        <w:t xml:space="preserve"> </w:t>
      </w:r>
      <w:r w:rsidR="004F75BC" w:rsidRPr="00632853">
        <w:rPr>
          <w:rFonts w:ascii="Times New Roman" w:hAnsi="Times New Roman" w:cs="Times New Roman"/>
          <w:sz w:val="28"/>
          <w:szCs w:val="28"/>
        </w:rPr>
        <w:t>and</w:t>
      </w:r>
      <w:r w:rsidRPr="00632853">
        <w:rPr>
          <w:rFonts w:ascii="Times New Roman" w:hAnsi="Times New Roman" w:cs="Times New Roman"/>
          <w:sz w:val="28"/>
          <w:szCs w:val="28"/>
        </w:rPr>
        <w:t xml:space="preserve"> </w:t>
      </w:r>
      <w:r w:rsidR="0058571C" w:rsidRPr="00632853">
        <w:rPr>
          <w:rFonts w:ascii="Times New Roman" w:hAnsi="Times New Roman" w:cs="Times New Roman"/>
          <w:sz w:val="28"/>
          <w:szCs w:val="28"/>
        </w:rPr>
        <w:t>g</w:t>
      </w:r>
      <w:r w:rsidRPr="00632853">
        <w:rPr>
          <w:rFonts w:ascii="Times New Roman" w:hAnsi="Times New Roman" w:cs="Times New Roman"/>
          <w:sz w:val="28"/>
          <w:szCs w:val="28"/>
        </w:rPr>
        <w:t>astrectomy for malignancy were sampled retrospectively between</w:t>
      </w:r>
      <w:r w:rsidR="00CD4470" w:rsidRPr="00632853">
        <w:rPr>
          <w:rFonts w:ascii="Times New Roman" w:hAnsi="Times New Roman" w:cs="Times New Roman"/>
          <w:sz w:val="28"/>
          <w:szCs w:val="28"/>
        </w:rPr>
        <w:t xml:space="preserve"> 1</w:t>
      </w:r>
      <w:r w:rsidR="00CD4470" w:rsidRPr="00632853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="00CD4470" w:rsidRPr="00632853">
        <w:rPr>
          <w:rFonts w:ascii="Times New Roman" w:hAnsi="Times New Roman" w:cs="Times New Roman"/>
          <w:sz w:val="28"/>
          <w:szCs w:val="28"/>
        </w:rPr>
        <w:t xml:space="preserve"> of April</w:t>
      </w:r>
      <w:r w:rsidRPr="00632853">
        <w:rPr>
          <w:rFonts w:ascii="Times New Roman" w:hAnsi="Times New Roman" w:cs="Times New Roman"/>
          <w:sz w:val="28"/>
          <w:szCs w:val="28"/>
        </w:rPr>
        <w:t xml:space="preserve"> 2020 and</w:t>
      </w:r>
      <w:r w:rsidR="00CD4470" w:rsidRPr="00632853">
        <w:rPr>
          <w:rFonts w:ascii="Times New Roman" w:hAnsi="Times New Roman" w:cs="Times New Roman"/>
          <w:sz w:val="28"/>
          <w:szCs w:val="28"/>
        </w:rPr>
        <w:t xml:space="preserve"> 31</w:t>
      </w:r>
      <w:r w:rsidR="00CD4470" w:rsidRPr="00632853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="00CD4470" w:rsidRPr="00632853">
        <w:rPr>
          <w:rFonts w:ascii="Times New Roman" w:hAnsi="Times New Roman" w:cs="Times New Roman"/>
          <w:sz w:val="28"/>
          <w:szCs w:val="28"/>
        </w:rPr>
        <w:t xml:space="preserve"> of March</w:t>
      </w:r>
      <w:r w:rsidRPr="00632853">
        <w:rPr>
          <w:rFonts w:ascii="Times New Roman" w:hAnsi="Times New Roman" w:cs="Times New Roman"/>
          <w:sz w:val="28"/>
          <w:szCs w:val="28"/>
        </w:rPr>
        <w:t xml:space="preserve"> 2021, prescribing of VTE prophylaxis in the form of 28 days of</w:t>
      </w:r>
      <w:r w:rsidR="00DF1F85" w:rsidRPr="00632853">
        <w:rPr>
          <w:rFonts w:ascii="Times New Roman" w:hAnsi="Times New Roman" w:cs="Times New Roman"/>
          <w:sz w:val="28"/>
          <w:szCs w:val="28"/>
        </w:rPr>
        <w:t xml:space="preserve"> Low Molecular Weight </w:t>
      </w:r>
      <w:r w:rsidR="00D64CC6" w:rsidRPr="00632853">
        <w:rPr>
          <w:rFonts w:ascii="Times New Roman" w:hAnsi="Times New Roman" w:cs="Times New Roman"/>
          <w:sz w:val="28"/>
          <w:szCs w:val="28"/>
        </w:rPr>
        <w:t>Heparin (</w:t>
      </w:r>
      <w:r w:rsidR="00CD4470" w:rsidRPr="00632853">
        <w:rPr>
          <w:rFonts w:ascii="Times New Roman" w:hAnsi="Times New Roman" w:cs="Times New Roman"/>
          <w:sz w:val="28"/>
          <w:szCs w:val="28"/>
        </w:rPr>
        <w:t>LMWH</w:t>
      </w:r>
      <w:r w:rsidR="00DF1F85" w:rsidRPr="00632853">
        <w:rPr>
          <w:rFonts w:ascii="Times New Roman" w:hAnsi="Times New Roman" w:cs="Times New Roman"/>
          <w:sz w:val="28"/>
          <w:szCs w:val="28"/>
        </w:rPr>
        <w:t xml:space="preserve">) as well as bariatric medications (vitamins, minerals &amp; </w:t>
      </w:r>
      <w:r w:rsidR="00D64CC6" w:rsidRPr="00632853">
        <w:rPr>
          <w:rFonts w:ascii="Times New Roman" w:hAnsi="Times New Roman" w:cs="Times New Roman"/>
          <w:sz w:val="28"/>
          <w:szCs w:val="28"/>
        </w:rPr>
        <w:t>PPI) were</w:t>
      </w:r>
      <w:r w:rsidRPr="00632853">
        <w:rPr>
          <w:rFonts w:ascii="Times New Roman" w:hAnsi="Times New Roman" w:cs="Times New Roman"/>
          <w:sz w:val="28"/>
          <w:szCs w:val="28"/>
        </w:rPr>
        <w:t xml:space="preserve"> identified.</w:t>
      </w:r>
      <w:r w:rsidR="00CD4470" w:rsidRPr="00632853">
        <w:rPr>
          <w:rFonts w:ascii="Times New Roman" w:hAnsi="Times New Roman" w:cs="Times New Roman"/>
          <w:sz w:val="28"/>
          <w:szCs w:val="28"/>
        </w:rPr>
        <w:t xml:space="preserve"> Intervention was planned through developing a discharge medication order set on the hospital’s electronic prescribing portal</w:t>
      </w:r>
      <w:r w:rsidR="0032357A" w:rsidRPr="00632853">
        <w:rPr>
          <w:rFonts w:ascii="Times New Roman" w:hAnsi="Times New Roman" w:cs="Times New Roman"/>
          <w:sz w:val="28"/>
          <w:szCs w:val="28"/>
        </w:rPr>
        <w:t xml:space="preserve"> which went live in April 2022 followed by reauditing for cycle completion </w:t>
      </w:r>
      <w:r w:rsidR="00D64CC6" w:rsidRPr="00632853">
        <w:rPr>
          <w:rFonts w:ascii="Times New Roman" w:hAnsi="Times New Roman" w:cs="Times New Roman"/>
          <w:sz w:val="28"/>
          <w:szCs w:val="28"/>
        </w:rPr>
        <w:t>in</w:t>
      </w:r>
      <w:r w:rsidR="0032357A" w:rsidRPr="00632853">
        <w:rPr>
          <w:rFonts w:ascii="Times New Roman" w:hAnsi="Times New Roman" w:cs="Times New Roman"/>
          <w:sz w:val="28"/>
          <w:szCs w:val="28"/>
        </w:rPr>
        <w:t xml:space="preserve"> the period between 1</w:t>
      </w:r>
      <w:r w:rsidR="0032357A" w:rsidRPr="00632853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="0032357A" w:rsidRPr="00632853">
        <w:rPr>
          <w:rFonts w:ascii="Times New Roman" w:hAnsi="Times New Roman" w:cs="Times New Roman"/>
          <w:sz w:val="28"/>
          <w:szCs w:val="28"/>
        </w:rPr>
        <w:t xml:space="preserve"> of May 2022 and 30</w:t>
      </w:r>
      <w:r w:rsidR="0032357A" w:rsidRPr="00632853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32357A" w:rsidRPr="00632853">
        <w:rPr>
          <w:rFonts w:ascii="Times New Roman" w:hAnsi="Times New Roman" w:cs="Times New Roman"/>
          <w:sz w:val="28"/>
          <w:szCs w:val="28"/>
        </w:rPr>
        <w:t xml:space="preserve"> of September 2022.</w:t>
      </w:r>
    </w:p>
    <w:p w14:paraId="0C3830B8" w14:textId="77777777" w:rsidR="00A10F90" w:rsidRPr="00632853" w:rsidRDefault="00A10F90" w:rsidP="00A10F90">
      <w:pPr>
        <w:rPr>
          <w:rFonts w:ascii="Times New Roman" w:hAnsi="Times New Roman" w:cs="Times New Roman"/>
          <w:sz w:val="28"/>
          <w:szCs w:val="28"/>
        </w:rPr>
      </w:pPr>
    </w:p>
    <w:p w14:paraId="71861CD0" w14:textId="77777777" w:rsidR="0058571C" w:rsidRPr="00632853" w:rsidRDefault="00A10F90" w:rsidP="0058571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32853">
        <w:rPr>
          <w:rFonts w:ascii="Times New Roman" w:hAnsi="Times New Roman" w:cs="Times New Roman"/>
          <w:b/>
          <w:bCs/>
          <w:sz w:val="28"/>
          <w:szCs w:val="28"/>
        </w:rPr>
        <w:t xml:space="preserve">Results: </w:t>
      </w:r>
    </w:p>
    <w:p w14:paraId="27B193AE" w14:textId="43B13902" w:rsidR="00A10F90" w:rsidRPr="00632853" w:rsidRDefault="00DF1F85" w:rsidP="0058571C">
      <w:pPr>
        <w:rPr>
          <w:rFonts w:ascii="Times New Roman" w:hAnsi="Times New Roman" w:cs="Times New Roman"/>
          <w:sz w:val="28"/>
          <w:szCs w:val="28"/>
        </w:rPr>
      </w:pPr>
      <w:r w:rsidRPr="00632853">
        <w:rPr>
          <w:rFonts w:ascii="Times New Roman" w:hAnsi="Times New Roman" w:cs="Times New Roman"/>
          <w:sz w:val="28"/>
          <w:szCs w:val="28"/>
        </w:rPr>
        <w:t xml:space="preserve">A total of </w:t>
      </w:r>
      <w:r w:rsidR="00A10F90" w:rsidRPr="00632853">
        <w:rPr>
          <w:rFonts w:ascii="Times New Roman" w:hAnsi="Times New Roman" w:cs="Times New Roman"/>
          <w:sz w:val="28"/>
          <w:szCs w:val="28"/>
        </w:rPr>
        <w:t>52 patients were included</w:t>
      </w:r>
      <w:r w:rsidR="0032357A" w:rsidRPr="00632853">
        <w:rPr>
          <w:rFonts w:ascii="Times New Roman" w:hAnsi="Times New Roman" w:cs="Times New Roman"/>
          <w:sz w:val="28"/>
          <w:szCs w:val="28"/>
        </w:rPr>
        <w:t xml:space="preserve"> in the initial audit</w:t>
      </w:r>
      <w:r w:rsidR="00A10F90" w:rsidRPr="00632853">
        <w:rPr>
          <w:rFonts w:ascii="Times New Roman" w:hAnsi="Times New Roman" w:cs="Times New Roman"/>
          <w:sz w:val="28"/>
          <w:szCs w:val="28"/>
        </w:rPr>
        <w:t xml:space="preserve">; 75% (n = 39) had </w:t>
      </w:r>
      <w:r w:rsidRPr="00632853">
        <w:rPr>
          <w:rFonts w:ascii="Times New Roman" w:hAnsi="Times New Roman" w:cs="Times New Roman"/>
          <w:sz w:val="28"/>
          <w:szCs w:val="28"/>
        </w:rPr>
        <w:t>LMWH</w:t>
      </w:r>
      <w:r w:rsidR="00A10F90" w:rsidRPr="00632853">
        <w:rPr>
          <w:rFonts w:ascii="Times New Roman" w:hAnsi="Times New Roman" w:cs="Times New Roman"/>
          <w:sz w:val="28"/>
          <w:szCs w:val="28"/>
        </w:rPr>
        <w:t xml:space="preserve"> for 28 days, 8% (n=4) had incorrect prescription of </w:t>
      </w:r>
      <w:r w:rsidRPr="00632853">
        <w:rPr>
          <w:rFonts w:ascii="Times New Roman" w:hAnsi="Times New Roman" w:cs="Times New Roman"/>
          <w:sz w:val="28"/>
          <w:szCs w:val="28"/>
        </w:rPr>
        <w:t>LMWH</w:t>
      </w:r>
      <w:r w:rsidR="00A10F90" w:rsidRPr="00632853">
        <w:rPr>
          <w:rFonts w:ascii="Times New Roman" w:hAnsi="Times New Roman" w:cs="Times New Roman"/>
          <w:sz w:val="28"/>
          <w:szCs w:val="28"/>
        </w:rPr>
        <w:t xml:space="preserve">, 17% (n=9) had no </w:t>
      </w:r>
      <w:r w:rsidRPr="00632853">
        <w:rPr>
          <w:rFonts w:ascii="Times New Roman" w:hAnsi="Times New Roman" w:cs="Times New Roman"/>
          <w:sz w:val="28"/>
          <w:szCs w:val="28"/>
        </w:rPr>
        <w:t>LMWH</w:t>
      </w:r>
      <w:r w:rsidR="00A10F90" w:rsidRPr="00632853">
        <w:rPr>
          <w:rFonts w:ascii="Times New Roman" w:hAnsi="Times New Roman" w:cs="Times New Roman"/>
          <w:sz w:val="28"/>
          <w:szCs w:val="28"/>
        </w:rPr>
        <w:t xml:space="preserve"> post-operatively. </w:t>
      </w:r>
      <w:r w:rsidRPr="00632853">
        <w:rPr>
          <w:rFonts w:ascii="Times New Roman" w:hAnsi="Times New Roman" w:cs="Times New Roman"/>
          <w:sz w:val="28"/>
          <w:szCs w:val="28"/>
        </w:rPr>
        <w:t>Bariatric medications were only prescribed on discharge in 20%(n=10</w:t>
      </w:r>
      <w:r w:rsidR="00D64CC6" w:rsidRPr="00632853">
        <w:rPr>
          <w:rFonts w:ascii="Times New Roman" w:hAnsi="Times New Roman" w:cs="Times New Roman"/>
          <w:sz w:val="28"/>
          <w:szCs w:val="28"/>
        </w:rPr>
        <w:t>). Second</w:t>
      </w:r>
      <w:r w:rsidRPr="00632853">
        <w:rPr>
          <w:rFonts w:ascii="Times New Roman" w:hAnsi="Times New Roman" w:cs="Times New Roman"/>
          <w:sz w:val="28"/>
          <w:szCs w:val="28"/>
        </w:rPr>
        <w:t xml:space="preserve"> audit cycle included 14 patients </w:t>
      </w:r>
      <w:r w:rsidR="00D64CC6" w:rsidRPr="00632853">
        <w:rPr>
          <w:rFonts w:ascii="Times New Roman" w:hAnsi="Times New Roman" w:cs="Times New Roman"/>
          <w:sz w:val="28"/>
          <w:szCs w:val="28"/>
        </w:rPr>
        <w:t xml:space="preserve">demonstrating </w:t>
      </w:r>
      <w:r w:rsidR="00D64CC6" w:rsidRPr="00632853">
        <w:rPr>
          <w:rFonts w:ascii="Times New Roman" w:hAnsi="Times New Roman" w:cs="Times New Roman"/>
          <w:sz w:val="28"/>
          <w:szCs w:val="28"/>
        </w:rPr>
        <w:lastRenderedPageBreak/>
        <w:t xml:space="preserve">100% compliance with LMWH prescription post </w:t>
      </w:r>
      <w:r w:rsidR="0058571C" w:rsidRPr="00632853">
        <w:rPr>
          <w:rFonts w:ascii="Times New Roman" w:hAnsi="Times New Roman" w:cs="Times New Roman"/>
          <w:sz w:val="28"/>
          <w:szCs w:val="28"/>
        </w:rPr>
        <w:t>intervention, whereas</w:t>
      </w:r>
      <w:r w:rsidR="00D64CC6" w:rsidRPr="00632853">
        <w:rPr>
          <w:rFonts w:ascii="Times New Roman" w:hAnsi="Times New Roman" w:cs="Times New Roman"/>
          <w:sz w:val="28"/>
          <w:szCs w:val="28"/>
        </w:rPr>
        <w:t xml:space="preserve"> compliance with bariatric medications prescribing increased to 73% (n=10).</w:t>
      </w:r>
    </w:p>
    <w:p w14:paraId="3C658394" w14:textId="77777777" w:rsidR="00A10F90" w:rsidRPr="00632853" w:rsidRDefault="00A10F90">
      <w:pPr>
        <w:rPr>
          <w:rFonts w:ascii="Times New Roman" w:hAnsi="Times New Roman" w:cs="Times New Roman"/>
          <w:sz w:val="28"/>
          <w:szCs w:val="28"/>
        </w:rPr>
      </w:pPr>
    </w:p>
    <w:p w14:paraId="0E904E69" w14:textId="77777777" w:rsidR="0058571C" w:rsidRPr="00632853" w:rsidRDefault="00A10F90" w:rsidP="004F75B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32853">
        <w:rPr>
          <w:rFonts w:ascii="Times New Roman" w:hAnsi="Times New Roman" w:cs="Times New Roman"/>
          <w:b/>
          <w:bCs/>
          <w:sz w:val="28"/>
          <w:szCs w:val="28"/>
        </w:rPr>
        <w:t xml:space="preserve">Conclusion: </w:t>
      </w:r>
    </w:p>
    <w:p w14:paraId="640B1296" w14:textId="410C43C2" w:rsidR="00C44F9A" w:rsidRPr="00632853" w:rsidRDefault="00A10F90" w:rsidP="004F75BC">
      <w:pPr>
        <w:rPr>
          <w:rFonts w:ascii="Times New Roman" w:hAnsi="Times New Roman" w:cs="Times New Roman"/>
          <w:sz w:val="28"/>
          <w:szCs w:val="28"/>
        </w:rPr>
      </w:pPr>
      <w:r w:rsidRPr="00632853">
        <w:rPr>
          <w:rFonts w:ascii="Times New Roman" w:hAnsi="Times New Roman" w:cs="Times New Roman"/>
          <w:sz w:val="28"/>
          <w:szCs w:val="28"/>
        </w:rPr>
        <w:t>Oesophagectomy</w:t>
      </w:r>
      <w:r w:rsidR="00D37FCD" w:rsidRPr="00632853">
        <w:rPr>
          <w:rFonts w:ascii="Times New Roman" w:hAnsi="Times New Roman" w:cs="Times New Roman"/>
          <w:sz w:val="28"/>
          <w:szCs w:val="28"/>
        </w:rPr>
        <w:t xml:space="preserve"> and gastrectomy are</w:t>
      </w:r>
      <w:r w:rsidRPr="00632853">
        <w:rPr>
          <w:rFonts w:ascii="Times New Roman" w:hAnsi="Times New Roman" w:cs="Times New Roman"/>
          <w:sz w:val="28"/>
          <w:szCs w:val="28"/>
        </w:rPr>
        <w:t xml:space="preserve"> associated with high levels of mortality and morbidity, with VTE posing significant risk. </w:t>
      </w:r>
      <w:r w:rsidR="00C44F9A" w:rsidRPr="00632853">
        <w:rPr>
          <w:rFonts w:ascii="Times New Roman" w:hAnsi="Times New Roman" w:cs="Times New Roman"/>
          <w:sz w:val="28"/>
          <w:szCs w:val="28"/>
        </w:rPr>
        <w:t xml:space="preserve">Our intervention </w:t>
      </w:r>
      <w:r w:rsidR="0058571C" w:rsidRPr="00632853">
        <w:rPr>
          <w:rFonts w:ascii="Times New Roman" w:hAnsi="Times New Roman" w:cs="Times New Roman"/>
          <w:sz w:val="28"/>
          <w:szCs w:val="28"/>
        </w:rPr>
        <w:t>h</w:t>
      </w:r>
      <w:r w:rsidR="004F75BC" w:rsidRPr="00632853">
        <w:rPr>
          <w:rFonts w:ascii="Times New Roman" w:hAnsi="Times New Roman" w:cs="Times New Roman"/>
          <w:sz w:val="28"/>
          <w:szCs w:val="28"/>
        </w:rPr>
        <w:t>as led to a remarkable improvement in service provision with full compliance to VTE prophylaxis and better compliance with bariatric medication prescription on discharge</w:t>
      </w:r>
      <w:r w:rsidR="0058571C" w:rsidRPr="00632853">
        <w:rPr>
          <w:rFonts w:ascii="Times New Roman" w:hAnsi="Times New Roman" w:cs="Times New Roman"/>
          <w:sz w:val="28"/>
          <w:szCs w:val="28"/>
        </w:rPr>
        <w:t>.</w:t>
      </w:r>
    </w:p>
    <w:p w14:paraId="2C12227E" w14:textId="3A88AF57" w:rsidR="00A10F90" w:rsidRPr="00632853" w:rsidRDefault="00A10F90">
      <w:pPr>
        <w:rPr>
          <w:rFonts w:ascii="Times New Roman" w:hAnsi="Times New Roman" w:cs="Times New Roman"/>
        </w:rPr>
      </w:pPr>
    </w:p>
    <w:p w14:paraId="28BB7074" w14:textId="1DD4698B" w:rsidR="00A10F90" w:rsidRPr="00632853" w:rsidRDefault="00A10F90">
      <w:pPr>
        <w:rPr>
          <w:rFonts w:ascii="Times New Roman" w:hAnsi="Times New Roman" w:cs="Times New Roman"/>
        </w:rPr>
      </w:pPr>
    </w:p>
    <w:p w14:paraId="78E1C1F3" w14:textId="07DA79EC" w:rsidR="00A10F90" w:rsidRPr="00632853" w:rsidRDefault="00A10F90">
      <w:pPr>
        <w:rPr>
          <w:rFonts w:ascii="Times New Roman" w:hAnsi="Times New Roman" w:cs="Times New Roman"/>
        </w:rPr>
      </w:pPr>
    </w:p>
    <w:p w14:paraId="638402E9" w14:textId="72F844B6" w:rsidR="00A10F90" w:rsidRDefault="00A10F90">
      <w:pPr>
        <w:rPr>
          <w:rFonts w:ascii="Times New Roman" w:hAnsi="Times New Roman" w:cs="Times New Roman"/>
        </w:rPr>
      </w:pPr>
    </w:p>
    <w:p w14:paraId="3970E005" w14:textId="3A4EFADB" w:rsidR="00F930CA" w:rsidRDefault="00F930CA">
      <w:pPr>
        <w:rPr>
          <w:rFonts w:ascii="Times New Roman" w:hAnsi="Times New Roman" w:cs="Times New Roman"/>
        </w:rPr>
      </w:pPr>
    </w:p>
    <w:p w14:paraId="02FA71A3" w14:textId="77777777" w:rsidR="00F930CA" w:rsidRPr="00632853" w:rsidRDefault="00F930CA">
      <w:pPr>
        <w:rPr>
          <w:rFonts w:ascii="Times New Roman" w:hAnsi="Times New Roman" w:cs="Times New Roman"/>
        </w:rPr>
      </w:pPr>
    </w:p>
    <w:p w14:paraId="50DD5C32" w14:textId="77777777" w:rsidR="00632853" w:rsidRPr="00632853" w:rsidRDefault="00632853" w:rsidP="00632853">
      <w:pPr>
        <w:rPr>
          <w:rFonts w:ascii="Times New Roman" w:hAnsi="Times New Roman" w:cs="Times New Roman"/>
          <w:b/>
          <w:bCs/>
          <w:color w:val="201F1E"/>
          <w:sz w:val="28"/>
          <w:szCs w:val="28"/>
          <w:shd w:val="clear" w:color="auto" w:fill="FFFFFF"/>
        </w:rPr>
      </w:pPr>
      <w:r w:rsidRPr="00632853">
        <w:rPr>
          <w:rFonts w:ascii="Times New Roman" w:hAnsi="Times New Roman" w:cs="Times New Roman"/>
          <w:b/>
          <w:bCs/>
          <w:color w:val="201F1E"/>
          <w:sz w:val="28"/>
          <w:szCs w:val="28"/>
          <w:shd w:val="clear" w:color="auto" w:fill="FFFFFF"/>
        </w:rPr>
        <w:t>Biography:</w:t>
      </w:r>
    </w:p>
    <w:p w14:paraId="5726D888" w14:textId="77777777" w:rsidR="00632853" w:rsidRPr="00632853" w:rsidRDefault="00632853" w:rsidP="00632853">
      <w:pPr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</w:pPr>
      <w:r w:rsidRPr="00632853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 xml:space="preserve">Mr Ahmed Ammar (lead author) is a surgical registrar at Royal Derby Hospital, </w:t>
      </w:r>
      <w:proofErr w:type="spellStart"/>
      <w:proofErr w:type="gramStart"/>
      <w:r w:rsidRPr="00632853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>UK.He</w:t>
      </w:r>
      <w:proofErr w:type="spellEnd"/>
      <w:proofErr w:type="gramEnd"/>
      <w:r w:rsidRPr="00632853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 xml:space="preserve"> attained his MBBCh degree from Egypt where he had his early surgical </w:t>
      </w:r>
      <w:proofErr w:type="spellStart"/>
      <w:r w:rsidRPr="00632853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>training.He</w:t>
      </w:r>
      <w:proofErr w:type="spellEnd"/>
      <w:r w:rsidRPr="00632853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 xml:space="preserve"> obtained MD degree in General Surgery from Ain Shams University which included a dissertation on differentiated thyroid </w:t>
      </w:r>
      <w:proofErr w:type="spellStart"/>
      <w:r w:rsidRPr="00632853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>carcinoma.He</w:t>
      </w:r>
      <w:proofErr w:type="spellEnd"/>
      <w:r w:rsidRPr="00632853">
        <w:rPr>
          <w:rFonts w:ascii="Times New Roman" w:hAnsi="Times New Roman" w:cs="Times New Roman"/>
          <w:color w:val="201F1E"/>
          <w:sz w:val="28"/>
          <w:szCs w:val="28"/>
          <w:shd w:val="clear" w:color="auto" w:fill="FFFFFF"/>
        </w:rPr>
        <w:t xml:space="preserve"> has special interest in Upper Gastrointestinal Surgery and has a few presentations on oesophageal cancer in national and international conferences.</w:t>
      </w:r>
    </w:p>
    <w:p w14:paraId="5A839F21" w14:textId="77777777" w:rsidR="00A10F90" w:rsidRDefault="00A10F90"/>
    <w:sectPr w:rsidR="00A10F90" w:rsidSect="002A70D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altName w:val="﷽﷽﷽﷽﷽﷽﷽﷽橄 怀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44CEF"/>
    <w:multiLevelType w:val="hybridMultilevel"/>
    <w:tmpl w:val="4C1425F0"/>
    <w:lvl w:ilvl="0" w:tplc="5BD0BA5E">
      <w:start w:val="7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944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F90"/>
    <w:rsid w:val="001343C6"/>
    <w:rsid w:val="001B06C3"/>
    <w:rsid w:val="00205750"/>
    <w:rsid w:val="002A70D6"/>
    <w:rsid w:val="0032357A"/>
    <w:rsid w:val="00421E13"/>
    <w:rsid w:val="00442267"/>
    <w:rsid w:val="004720CD"/>
    <w:rsid w:val="004F75BC"/>
    <w:rsid w:val="0058571C"/>
    <w:rsid w:val="00632853"/>
    <w:rsid w:val="008806ED"/>
    <w:rsid w:val="00897327"/>
    <w:rsid w:val="00A10F90"/>
    <w:rsid w:val="00A460E4"/>
    <w:rsid w:val="00A677DB"/>
    <w:rsid w:val="00A83ECE"/>
    <w:rsid w:val="00C44F9A"/>
    <w:rsid w:val="00CA0D30"/>
    <w:rsid w:val="00CD4470"/>
    <w:rsid w:val="00D37FCD"/>
    <w:rsid w:val="00D64CC6"/>
    <w:rsid w:val="00DF1F85"/>
    <w:rsid w:val="00F9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EB0D5"/>
  <w15:chartTrackingRefBased/>
  <w15:docId w15:val="{DAA507ED-DEA7-8142-990E-7C75C3810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0CD"/>
    <w:pPr>
      <w:spacing w:after="0" w:line="360" w:lineRule="auto"/>
    </w:pPr>
    <w:rPr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20CD"/>
    <w:pPr>
      <w:pBdr>
        <w:top w:val="single" w:sz="8" w:space="0" w:color="B67B90" w:themeColor="accent2"/>
        <w:left w:val="single" w:sz="8" w:space="0" w:color="B67B90" w:themeColor="accent2"/>
        <w:bottom w:val="single" w:sz="8" w:space="0" w:color="B67B90" w:themeColor="accent2"/>
        <w:right w:val="single" w:sz="8" w:space="0" w:color="B67B90" w:themeColor="accent2"/>
      </w:pBdr>
      <w:shd w:val="clear" w:color="auto" w:fill="F0E4E8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13645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20CD"/>
    <w:pPr>
      <w:pBdr>
        <w:top w:val="single" w:sz="4" w:space="0" w:color="B67B90" w:themeColor="accent2"/>
        <w:left w:val="single" w:sz="48" w:space="2" w:color="B67B90" w:themeColor="accent2"/>
        <w:bottom w:val="single" w:sz="4" w:space="0" w:color="B67B90" w:themeColor="accent2"/>
        <w:right w:val="single" w:sz="4" w:space="4" w:color="B67B90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25168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20CD"/>
    <w:pPr>
      <w:pBdr>
        <w:left w:val="single" w:sz="48" w:space="2" w:color="B67B90" w:themeColor="accent2"/>
        <w:bottom w:val="single" w:sz="4" w:space="0" w:color="B67B90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25168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20CD"/>
    <w:pPr>
      <w:pBdr>
        <w:left w:val="single" w:sz="4" w:space="2" w:color="B67B90" w:themeColor="accent2"/>
        <w:bottom w:val="single" w:sz="4" w:space="2" w:color="B67B90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25168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720CD"/>
    <w:pPr>
      <w:pBdr>
        <w:left w:val="dotted" w:sz="4" w:space="2" w:color="B67B90" w:themeColor="accent2"/>
        <w:bottom w:val="dotted" w:sz="4" w:space="2" w:color="B67B90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25168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20CD"/>
    <w:pPr>
      <w:pBdr>
        <w:bottom w:val="single" w:sz="4" w:space="2" w:color="E1CAD2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25168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20CD"/>
    <w:pPr>
      <w:pBdr>
        <w:bottom w:val="dotted" w:sz="4" w:space="2" w:color="D3AFBC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25168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20CD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B67B90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0CD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B67B90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link w:val="Style1Char"/>
    <w:rsid w:val="00205750"/>
    <w:pPr>
      <w:pBdr>
        <w:top w:val="single" w:sz="24" w:space="0" w:color="339933"/>
        <w:left w:val="single" w:sz="24" w:space="0" w:color="339933"/>
        <w:bottom w:val="single" w:sz="24" w:space="0" w:color="339933"/>
        <w:right w:val="single" w:sz="24" w:space="0" w:color="339933"/>
      </w:pBdr>
      <w:shd w:val="clear" w:color="auto" w:fill="339933"/>
    </w:pPr>
    <w:rPr>
      <w:sz w:val="28"/>
      <w14:numForm w14:val="oldStyle"/>
    </w:rPr>
  </w:style>
  <w:style w:type="character" w:customStyle="1" w:styleId="Style1Char">
    <w:name w:val="Style1 Char"/>
    <w:basedOn w:val="Heading1Char"/>
    <w:link w:val="Style1"/>
    <w:rsid w:val="00205750"/>
    <w:rPr>
      <w:rFonts w:asciiTheme="majorHAnsi" w:eastAsiaTheme="majorEastAsia" w:hAnsiTheme="majorHAnsi" w:cstheme="majorBidi"/>
      <w:b/>
      <w:bCs/>
      <w:i w:val="0"/>
      <w:iCs/>
      <w:color w:val="613645" w:themeColor="accent2" w:themeShade="7F"/>
      <w:sz w:val="28"/>
      <w:szCs w:val="20"/>
      <w:shd w:val="clear" w:color="auto" w:fill="339933"/>
      <w14:numForm w14:val="oldStyle"/>
    </w:rPr>
  </w:style>
  <w:style w:type="character" w:customStyle="1" w:styleId="Heading1Char">
    <w:name w:val="Heading 1 Char"/>
    <w:basedOn w:val="DefaultParagraphFont"/>
    <w:link w:val="Heading1"/>
    <w:uiPriority w:val="9"/>
    <w:rsid w:val="004720CD"/>
    <w:rPr>
      <w:rFonts w:asciiTheme="majorHAnsi" w:eastAsiaTheme="majorEastAsia" w:hAnsiTheme="majorHAnsi" w:cstheme="majorBidi"/>
      <w:b/>
      <w:bCs/>
      <w:iCs/>
      <w:color w:val="613645" w:themeColor="accent2" w:themeShade="7F"/>
      <w:shd w:val="clear" w:color="auto" w:fill="F0E4E8" w:themeFill="accent2" w:themeFillTint="33"/>
    </w:rPr>
  </w:style>
  <w:style w:type="paragraph" w:styleId="NoSpacing">
    <w:name w:val="No Spacing"/>
    <w:basedOn w:val="Normal"/>
    <w:uiPriority w:val="1"/>
    <w:qFormat/>
    <w:rsid w:val="004720CD"/>
    <w:pPr>
      <w:spacing w:line="240" w:lineRule="auto"/>
    </w:pPr>
    <w:rPr>
      <w:rFonts w:ascii="Rockwell" w:hAnsi="Rockwell"/>
      <w:i/>
    </w:rPr>
  </w:style>
  <w:style w:type="character" w:customStyle="1" w:styleId="Heading2Char">
    <w:name w:val="Heading 2 Char"/>
    <w:basedOn w:val="DefaultParagraphFont"/>
    <w:link w:val="Heading2"/>
    <w:uiPriority w:val="9"/>
    <w:rsid w:val="004720CD"/>
    <w:rPr>
      <w:rFonts w:asciiTheme="majorHAnsi" w:eastAsiaTheme="majorEastAsia" w:hAnsiTheme="majorHAnsi" w:cstheme="majorBidi"/>
      <w:b/>
      <w:bCs/>
      <w:iCs/>
      <w:color w:val="925168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rsid w:val="004720CD"/>
    <w:rPr>
      <w:rFonts w:asciiTheme="majorHAnsi" w:eastAsiaTheme="majorEastAsia" w:hAnsiTheme="majorHAnsi" w:cstheme="majorBidi"/>
      <w:b/>
      <w:bCs/>
      <w:iCs/>
      <w:color w:val="925168" w:themeColor="accent2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4720CD"/>
    <w:rPr>
      <w:rFonts w:asciiTheme="majorHAnsi" w:eastAsiaTheme="majorEastAsia" w:hAnsiTheme="majorHAnsi" w:cstheme="majorBidi"/>
      <w:b/>
      <w:bCs/>
      <w:iCs/>
      <w:color w:val="925168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4720CD"/>
    <w:rPr>
      <w:rFonts w:asciiTheme="majorHAnsi" w:eastAsiaTheme="majorEastAsia" w:hAnsiTheme="majorHAnsi" w:cstheme="majorBidi"/>
      <w:b/>
      <w:bCs/>
      <w:iCs/>
      <w:color w:val="925168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20CD"/>
    <w:rPr>
      <w:rFonts w:asciiTheme="majorHAnsi" w:eastAsiaTheme="majorEastAsia" w:hAnsiTheme="majorHAnsi" w:cstheme="majorBidi"/>
      <w:iCs/>
      <w:color w:val="925168" w:themeColor="accen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20CD"/>
    <w:rPr>
      <w:rFonts w:asciiTheme="majorHAnsi" w:eastAsiaTheme="majorEastAsia" w:hAnsiTheme="majorHAnsi" w:cstheme="majorBidi"/>
      <w:iCs/>
      <w:color w:val="925168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20CD"/>
    <w:rPr>
      <w:rFonts w:asciiTheme="majorHAnsi" w:eastAsiaTheme="majorEastAsia" w:hAnsiTheme="majorHAnsi" w:cstheme="majorBidi"/>
      <w:iCs/>
      <w:color w:val="B67B90" w:themeColor="accen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20CD"/>
    <w:rPr>
      <w:rFonts w:asciiTheme="majorHAnsi" w:eastAsiaTheme="majorEastAsia" w:hAnsiTheme="majorHAnsi" w:cstheme="majorBidi"/>
      <w:iCs/>
      <w:color w:val="B67B90" w:themeColor="accent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720CD"/>
    <w:rPr>
      <w:b/>
      <w:bCs/>
      <w:color w:val="925168" w:themeColor="accent2" w:themeShade="BF"/>
      <w:sz w:val="18"/>
      <w:szCs w:val="18"/>
    </w:rPr>
  </w:style>
  <w:style w:type="paragraph" w:styleId="Title">
    <w:name w:val="Title"/>
    <w:basedOn w:val="Normal"/>
    <w:next w:val="NoSpacing"/>
    <w:link w:val="TitleChar"/>
    <w:uiPriority w:val="10"/>
    <w:qFormat/>
    <w:rsid w:val="004720CD"/>
    <w:pPr>
      <w:pBdr>
        <w:top w:val="single" w:sz="48" w:space="0" w:color="B67B90" w:themeColor="accent2"/>
        <w:bottom w:val="single" w:sz="48" w:space="0" w:color="B67B90" w:themeColor="accent2"/>
      </w:pBdr>
      <w:shd w:val="clear" w:color="auto" w:fill="B67B90" w:themeFill="accent2"/>
      <w:spacing w:line="240" w:lineRule="auto"/>
      <w:jc w:val="center"/>
    </w:pPr>
    <w:rPr>
      <w:rFonts w:asciiTheme="majorHAnsi" w:eastAsiaTheme="majorEastAsia" w:hAnsiTheme="majorHAnsi" w:cstheme="majorBidi"/>
      <w:color w:val="EBF1F2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4720CD"/>
    <w:rPr>
      <w:rFonts w:asciiTheme="majorHAnsi" w:eastAsiaTheme="majorEastAsia" w:hAnsiTheme="majorHAnsi" w:cstheme="majorBidi"/>
      <w:iCs/>
      <w:color w:val="EBF1F2" w:themeColor="background1"/>
      <w:spacing w:val="10"/>
      <w:sz w:val="48"/>
      <w:szCs w:val="48"/>
      <w:shd w:val="clear" w:color="auto" w:fill="B67B90" w:themeFill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20CD"/>
    <w:pPr>
      <w:pBdr>
        <w:bottom w:val="dotted" w:sz="8" w:space="10" w:color="B67B90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13645" w:themeColor="accent2" w:themeShade="7F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720CD"/>
    <w:rPr>
      <w:rFonts w:asciiTheme="majorHAnsi" w:eastAsiaTheme="majorEastAsia" w:hAnsiTheme="majorHAnsi" w:cstheme="majorBidi"/>
      <w:iCs/>
      <w:color w:val="613645" w:themeColor="accent2" w:themeShade="7F"/>
      <w:sz w:val="24"/>
      <w:szCs w:val="24"/>
    </w:rPr>
  </w:style>
  <w:style w:type="character" w:styleId="Strong">
    <w:name w:val="Strong"/>
    <w:uiPriority w:val="22"/>
    <w:qFormat/>
    <w:rsid w:val="004720CD"/>
    <w:rPr>
      <w:b/>
      <w:bCs/>
      <w:spacing w:val="0"/>
    </w:rPr>
  </w:style>
  <w:style w:type="character" w:styleId="Emphasis">
    <w:name w:val="Emphasis"/>
    <w:uiPriority w:val="20"/>
    <w:qFormat/>
    <w:rsid w:val="004720CD"/>
    <w:rPr>
      <w:rFonts w:asciiTheme="majorHAnsi" w:eastAsiaTheme="majorEastAsia" w:hAnsiTheme="majorHAnsi" w:cstheme="majorBidi"/>
      <w:b/>
      <w:bCs/>
      <w:i/>
      <w:iCs/>
      <w:color w:val="B67B90" w:themeColor="accent2"/>
      <w:bdr w:val="single" w:sz="18" w:space="0" w:color="F0E4E8" w:themeColor="accent2" w:themeTint="33"/>
      <w:shd w:val="clear" w:color="auto" w:fill="F0E4E8" w:themeFill="accent2" w:themeFillTint="33"/>
    </w:rPr>
  </w:style>
  <w:style w:type="paragraph" w:styleId="ListParagraph">
    <w:name w:val="List Paragraph"/>
    <w:basedOn w:val="Normal"/>
    <w:uiPriority w:val="34"/>
    <w:qFormat/>
    <w:rsid w:val="004720C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720CD"/>
    <w:rPr>
      <w:i/>
      <w:iCs w:val="0"/>
      <w:color w:val="925168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4720CD"/>
    <w:rPr>
      <w:i/>
      <w:color w:val="925168" w:themeColor="accent2" w:themeShade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0CD"/>
    <w:pPr>
      <w:pBdr>
        <w:top w:val="dotted" w:sz="8" w:space="10" w:color="B67B90" w:themeColor="accent2"/>
        <w:bottom w:val="dotted" w:sz="8" w:space="10" w:color="B67B90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67B90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0CD"/>
    <w:rPr>
      <w:rFonts w:asciiTheme="majorHAnsi" w:eastAsiaTheme="majorEastAsia" w:hAnsiTheme="majorHAnsi" w:cstheme="majorBidi"/>
      <w:b/>
      <w:bCs/>
      <w:iCs/>
      <w:color w:val="B67B90" w:themeColor="accent2"/>
      <w:sz w:val="20"/>
      <w:szCs w:val="20"/>
    </w:rPr>
  </w:style>
  <w:style w:type="character" w:styleId="SubtleEmphasis">
    <w:name w:val="Subtle Emphasis"/>
    <w:uiPriority w:val="19"/>
    <w:qFormat/>
    <w:rsid w:val="004720CD"/>
    <w:rPr>
      <w:rFonts w:asciiTheme="majorHAnsi" w:eastAsiaTheme="majorEastAsia" w:hAnsiTheme="majorHAnsi" w:cstheme="majorBidi"/>
      <w:i/>
      <w:iCs/>
      <w:color w:val="B67B90" w:themeColor="accent2"/>
    </w:rPr>
  </w:style>
  <w:style w:type="character" w:styleId="IntenseEmphasis">
    <w:name w:val="Intense Emphasis"/>
    <w:uiPriority w:val="21"/>
    <w:qFormat/>
    <w:rsid w:val="004720CD"/>
    <w:rPr>
      <w:rFonts w:asciiTheme="majorHAnsi" w:eastAsiaTheme="majorEastAsia" w:hAnsiTheme="majorHAnsi" w:cstheme="majorBidi"/>
      <w:b/>
      <w:bCs/>
      <w:i/>
      <w:iCs/>
      <w:dstrike w:val="0"/>
      <w:color w:val="EBF1F2" w:themeColor="background1"/>
      <w:bdr w:val="single" w:sz="18" w:space="0" w:color="B67B90" w:themeColor="accent2"/>
      <w:shd w:val="clear" w:color="auto" w:fill="B67B90" w:themeFill="accent2"/>
      <w:vertAlign w:val="baseline"/>
    </w:rPr>
  </w:style>
  <w:style w:type="character" w:styleId="SubtleReference">
    <w:name w:val="Subtle Reference"/>
    <w:uiPriority w:val="31"/>
    <w:qFormat/>
    <w:rsid w:val="004720CD"/>
    <w:rPr>
      <w:i/>
      <w:iCs/>
      <w:smallCaps/>
      <w:color w:val="B67B90" w:themeColor="accent2"/>
      <w:u w:color="B67B90" w:themeColor="accent2"/>
    </w:rPr>
  </w:style>
  <w:style w:type="character" w:styleId="IntenseReference">
    <w:name w:val="Intense Reference"/>
    <w:uiPriority w:val="32"/>
    <w:qFormat/>
    <w:rsid w:val="004720CD"/>
    <w:rPr>
      <w:b/>
      <w:bCs/>
      <w:i/>
      <w:iCs/>
      <w:smallCaps/>
      <w:color w:val="B67B90" w:themeColor="accent2"/>
      <w:u w:color="B67B90" w:themeColor="accent2"/>
    </w:rPr>
  </w:style>
  <w:style w:type="character" w:styleId="BookTitle">
    <w:name w:val="Book Title"/>
    <w:uiPriority w:val="33"/>
    <w:qFormat/>
    <w:rsid w:val="004720CD"/>
    <w:rPr>
      <w:rFonts w:asciiTheme="majorHAnsi" w:eastAsiaTheme="majorEastAsia" w:hAnsiTheme="majorHAnsi" w:cstheme="majorBidi"/>
      <w:b/>
      <w:bCs/>
      <w:i w:val="0"/>
      <w:iCs/>
      <w:smallCaps/>
      <w:color w:val="925168" w:themeColor="accent2" w:themeShade="B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720CD"/>
    <w:pPr>
      <w:outlineLvl w:val="9"/>
    </w:pPr>
  </w:style>
  <w:style w:type="paragraph" w:customStyle="1" w:styleId="Style2">
    <w:name w:val="Style2"/>
    <w:basedOn w:val="Style1"/>
    <w:next w:val="NoSpacing"/>
    <w:rsid w:val="00CA0D30"/>
    <w:pPr>
      <w:pBdr>
        <w:top w:val="single" w:sz="24" w:space="0" w:color="737395"/>
        <w:left w:val="single" w:sz="24" w:space="0" w:color="737395"/>
        <w:bottom w:val="single" w:sz="24" w:space="0" w:color="737395"/>
        <w:right w:val="single" w:sz="24" w:space="0" w:color="737395"/>
      </w:pBdr>
      <w:shd w:val="clear" w:color="auto" w:fill="737395"/>
    </w:pPr>
    <w:rPr>
      <w:color w:val="571F32" w:themeColor="text1"/>
      <w:sz w:val="36"/>
    </w:rPr>
  </w:style>
  <w:style w:type="paragraph" w:customStyle="1" w:styleId="Style3">
    <w:name w:val="Style3"/>
    <w:basedOn w:val="Style1"/>
    <w:next w:val="NoSpacing"/>
    <w:rsid w:val="00CA0D30"/>
    <w:pPr>
      <w:pBdr>
        <w:top w:val="single" w:sz="24" w:space="0" w:color="17B7C8"/>
        <w:left w:val="single" w:sz="24" w:space="0" w:color="17B7C8"/>
        <w:bottom w:val="single" w:sz="24" w:space="0" w:color="17B7C8"/>
        <w:right w:val="single" w:sz="24" w:space="0" w:color="17B7C8"/>
      </w:pBdr>
      <w:shd w:val="clear" w:color="auto" w:fill="10AFBF"/>
    </w:pPr>
    <w:rPr>
      <w:color w:val="571F32" w:themeColor="text1"/>
      <w:sz w:val="36"/>
    </w:rPr>
  </w:style>
  <w:style w:type="paragraph" w:customStyle="1" w:styleId="Style4">
    <w:name w:val="Style4"/>
    <w:basedOn w:val="Style1"/>
    <w:next w:val="NoSpacing"/>
    <w:rsid w:val="00CA0D30"/>
    <w:pPr>
      <w:pBdr>
        <w:top w:val="single" w:sz="24" w:space="0" w:color="C4D4AF"/>
        <w:left w:val="single" w:sz="24" w:space="0" w:color="C4D4AF"/>
        <w:bottom w:val="single" w:sz="24" w:space="0" w:color="C4D4AF"/>
        <w:right w:val="single" w:sz="24" w:space="0" w:color="C4D4AF"/>
      </w:pBdr>
      <w:shd w:val="clear" w:color="auto" w:fill="C4D4AF"/>
    </w:pPr>
    <w:rPr>
      <w:color w:val="571F32" w:themeColor="text1"/>
      <w:sz w:val="36"/>
    </w:rPr>
  </w:style>
  <w:style w:type="paragraph" w:customStyle="1" w:styleId="Style5">
    <w:name w:val="Style5"/>
    <w:basedOn w:val="Style1"/>
    <w:next w:val="NoSpacing"/>
    <w:rsid w:val="00CA0D30"/>
    <w:pPr>
      <w:pBdr>
        <w:top w:val="single" w:sz="24" w:space="0" w:color="6C8672"/>
        <w:left w:val="single" w:sz="24" w:space="0" w:color="6C8672"/>
        <w:bottom w:val="single" w:sz="24" w:space="0" w:color="6C8672"/>
        <w:right w:val="single" w:sz="24" w:space="0" w:color="6C8672"/>
      </w:pBdr>
      <w:shd w:val="clear" w:color="auto" w:fill="6C8672"/>
    </w:pPr>
    <w:rPr>
      <w:color w:val="571F32" w:themeColor="text1"/>
      <w:sz w:val="36"/>
    </w:rPr>
  </w:style>
  <w:style w:type="paragraph" w:customStyle="1" w:styleId="Symbol">
    <w:name w:val="Symbol"/>
    <w:basedOn w:val="Normal"/>
    <w:next w:val="Normal"/>
    <w:qFormat/>
    <w:rsid w:val="004720CD"/>
    <w:pPr>
      <w:spacing w:line="240" w:lineRule="auto"/>
    </w:pPr>
    <w:rPr>
      <w:rFonts w:ascii="Rockwell" w:eastAsia="MS Gothic" w:hAnsi="Rockwell" w:cs="Times New Roman"/>
      <w:b/>
      <w:iCs w:val="0"/>
      <w:color w:val="925168" w:themeColor="accent2" w:themeShade="BF"/>
      <w:sz w:val="40"/>
      <w:szCs w:val="24"/>
      <w:lang w:val="en-US"/>
    </w:rPr>
  </w:style>
  <w:style w:type="paragraph" w:customStyle="1" w:styleId="Style6">
    <w:name w:val="Style6"/>
    <w:basedOn w:val="Symbol"/>
    <w:qFormat/>
    <w:rsid w:val="004720CD"/>
    <w:rPr>
      <w:color w:val="6F565E" w:themeColor="accent1" w:themeShade="BF"/>
      <w:sz w:val="32"/>
    </w:rPr>
  </w:style>
  <w:style w:type="paragraph" w:customStyle="1" w:styleId="Style7">
    <w:name w:val="Style7"/>
    <w:basedOn w:val="Title"/>
    <w:next w:val="NoSpacing"/>
    <w:qFormat/>
    <w:rsid w:val="004720CD"/>
    <w:pPr>
      <w:pBdr>
        <w:top w:val="none" w:sz="0" w:space="0" w:color="auto"/>
        <w:bottom w:val="none" w:sz="0" w:space="0" w:color="auto"/>
      </w:pBdr>
      <w:shd w:val="clear" w:color="auto" w:fill="F0E4E8" w:themeFill="accent2" w:themeFillTint="33"/>
      <w:jc w:val="left"/>
    </w:pPr>
    <w:rPr>
      <w:rFonts w:ascii="Rockwell" w:hAnsi="Rockwell"/>
      <w:color w:val="571F32" w:themeColor="text1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Custom 3">
      <a:dk1>
        <a:srgbClr val="571F32"/>
      </a:dk1>
      <a:lt1>
        <a:srgbClr val="EBF1F2"/>
      </a:lt1>
      <a:dk2>
        <a:srgbClr val="97313E"/>
      </a:dk2>
      <a:lt2>
        <a:srgbClr val="CCDEE5"/>
      </a:lt2>
      <a:accent1>
        <a:srgbClr val="94757F"/>
      </a:accent1>
      <a:accent2>
        <a:srgbClr val="B67B90"/>
      </a:accent2>
      <a:accent3>
        <a:srgbClr val="BA9EAF"/>
      </a:accent3>
      <a:accent4>
        <a:srgbClr val="8C6982"/>
      </a:accent4>
      <a:accent5>
        <a:srgbClr val="BCCFD3"/>
      </a:accent5>
      <a:accent6>
        <a:srgbClr val="D4B0B4"/>
      </a:accent6>
      <a:hlink>
        <a:srgbClr val="B67B90"/>
      </a:hlink>
      <a:folHlink>
        <a:srgbClr val="B87C92"/>
      </a:folHlink>
    </a:clrScheme>
    <a:fontScheme name="Georgia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Brooks</dc:creator>
  <cp:keywords/>
  <dc:description/>
  <cp:lastModifiedBy>Ahmed Ammar</cp:lastModifiedBy>
  <cp:revision>9</cp:revision>
  <dcterms:created xsi:type="dcterms:W3CDTF">2022-05-08T21:40:00Z</dcterms:created>
  <dcterms:modified xsi:type="dcterms:W3CDTF">2022-10-07T09:57:00Z</dcterms:modified>
</cp:coreProperties>
</file>