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595A" w14:textId="2FD14E3C" w:rsidR="000E1A6F" w:rsidRDefault="00231C2E" w:rsidP="00071754">
      <w:pPr>
        <w:rPr>
          <w:rFonts w:ascii="Arial" w:hAnsi="Arial" w:cs="Arial"/>
          <w:b/>
          <w:bCs/>
          <w:sz w:val="28"/>
          <w:szCs w:val="28"/>
          <w:u w:val="single"/>
          <w:lang w:val="en-US"/>
        </w:rPr>
      </w:pPr>
      <w:r w:rsidRPr="00231C2E">
        <w:rPr>
          <w:rFonts w:ascii="Arial" w:hAnsi="Arial" w:cs="Arial"/>
          <w:b/>
          <w:bCs/>
          <w:sz w:val="28"/>
          <w:szCs w:val="28"/>
          <w:u w:val="single"/>
          <w:lang w:val="en-US"/>
        </w:rPr>
        <w:t xml:space="preserve">Spontaneous Rupture of Renal Pelvis in case of </w:t>
      </w:r>
      <w:r>
        <w:rPr>
          <w:rFonts w:ascii="Arial" w:hAnsi="Arial" w:cs="Arial"/>
          <w:b/>
          <w:bCs/>
          <w:sz w:val="28"/>
          <w:szCs w:val="28"/>
          <w:u w:val="single"/>
          <w:lang w:val="en-US"/>
        </w:rPr>
        <w:t>S</w:t>
      </w:r>
      <w:r w:rsidRPr="00231C2E">
        <w:rPr>
          <w:rFonts w:ascii="Arial" w:hAnsi="Arial" w:cs="Arial"/>
          <w:b/>
          <w:bCs/>
          <w:sz w:val="28"/>
          <w:szCs w:val="28"/>
          <w:u w:val="single"/>
          <w:lang w:val="en-US"/>
        </w:rPr>
        <w:t>igmoid Volvulous</w:t>
      </w:r>
    </w:p>
    <w:p w14:paraId="7506FCB3" w14:textId="364E2E04" w:rsidR="000E1A6F" w:rsidRDefault="000E1A6F" w:rsidP="00071754">
      <w:pPr>
        <w:rPr>
          <w:rFonts w:ascii="Arial" w:hAnsi="Arial" w:cs="Arial"/>
          <w:sz w:val="28"/>
          <w:szCs w:val="28"/>
          <w:vertAlign w:val="superscript"/>
          <w:lang w:val="en-US"/>
        </w:rPr>
      </w:pPr>
      <w:r>
        <w:rPr>
          <w:rFonts w:ascii="Arial" w:hAnsi="Arial" w:cs="Arial"/>
          <w:sz w:val="28"/>
          <w:szCs w:val="28"/>
          <w:lang w:val="en-US"/>
        </w:rPr>
        <w:t>Bal Jaskaran Singh</w:t>
      </w:r>
      <w:r>
        <w:rPr>
          <w:rFonts w:ascii="Arial" w:hAnsi="Arial" w:cs="Arial"/>
          <w:sz w:val="28"/>
          <w:szCs w:val="28"/>
          <w:vertAlign w:val="superscript"/>
          <w:lang w:val="en-US"/>
        </w:rPr>
        <w:t>1</w:t>
      </w:r>
    </w:p>
    <w:p w14:paraId="70482219" w14:textId="35FFD920" w:rsidR="000E1A6F" w:rsidRPr="000E1A6F" w:rsidRDefault="000E1A6F" w:rsidP="00071754">
      <w:pPr>
        <w:rPr>
          <w:rFonts w:ascii="Arial" w:hAnsi="Arial" w:cs="Arial"/>
          <w:sz w:val="28"/>
          <w:szCs w:val="28"/>
          <w:vertAlign w:val="superscript"/>
          <w:lang w:val="en-US"/>
        </w:rPr>
      </w:pPr>
      <w:r>
        <w:rPr>
          <w:rFonts w:ascii="Arial" w:hAnsi="Arial" w:cs="Arial"/>
          <w:sz w:val="28"/>
          <w:szCs w:val="28"/>
          <w:lang w:val="en-US"/>
        </w:rPr>
        <w:t>Kasturi Sarathy</w:t>
      </w:r>
      <w:r>
        <w:rPr>
          <w:rFonts w:ascii="Arial" w:hAnsi="Arial" w:cs="Arial"/>
          <w:sz w:val="28"/>
          <w:szCs w:val="28"/>
          <w:vertAlign w:val="superscript"/>
          <w:lang w:val="en-US"/>
        </w:rPr>
        <w:t>2</w:t>
      </w:r>
    </w:p>
    <w:p w14:paraId="04E4F0AD" w14:textId="77777777" w:rsidR="00231C2E" w:rsidRDefault="00231C2E" w:rsidP="00071754">
      <w:pPr>
        <w:rPr>
          <w:rFonts w:ascii="Arial" w:hAnsi="Arial" w:cs="Arial"/>
          <w:b/>
          <w:bCs/>
          <w:sz w:val="28"/>
          <w:szCs w:val="28"/>
          <w:u w:val="single"/>
          <w:lang w:val="en-US"/>
        </w:rPr>
      </w:pPr>
    </w:p>
    <w:p w14:paraId="2264C0DF" w14:textId="65C3D84E" w:rsidR="00071754" w:rsidRPr="00071754" w:rsidRDefault="00231C2E" w:rsidP="00071754">
      <w:pPr>
        <w:rPr>
          <w:rFonts w:ascii="Arial" w:hAnsi="Arial" w:cs="Arial"/>
          <w:sz w:val="28"/>
          <w:szCs w:val="28"/>
        </w:rPr>
      </w:pPr>
      <w:r w:rsidRPr="00231C2E">
        <w:rPr>
          <w:rFonts w:ascii="Arial" w:hAnsi="Arial" w:cs="Arial"/>
          <w:b/>
          <w:bCs/>
          <w:sz w:val="28"/>
          <w:szCs w:val="28"/>
          <w:u w:val="single"/>
          <w:lang w:val="en-US"/>
        </w:rPr>
        <w:t>Introduction:</w:t>
      </w:r>
      <w:r>
        <w:rPr>
          <w:rFonts w:ascii="Arial" w:hAnsi="Arial" w:cs="Arial"/>
          <w:sz w:val="28"/>
          <w:szCs w:val="28"/>
          <w:lang w:val="en-US"/>
        </w:rPr>
        <w:t xml:space="preserve"> </w:t>
      </w:r>
      <w:r w:rsidR="00071754" w:rsidRPr="00071754">
        <w:rPr>
          <w:rFonts w:ascii="Arial" w:hAnsi="Arial" w:cs="Arial"/>
          <w:sz w:val="28"/>
          <w:szCs w:val="28"/>
          <w:lang w:val="en-US"/>
        </w:rPr>
        <w:t>Spontaneous rupture of the renal pelvis is one of the rare complications and usually occurs due to obstructed distal ureteric calculus. Malignant ureteric obstruction and bladder outlet obstruction are few other causes that could lead to rupture of renal pelvis secondary to the back pressure changes.</w:t>
      </w:r>
      <w:r w:rsidR="00071754" w:rsidRPr="00071754">
        <w:rPr>
          <w:rFonts w:ascii="Arial" w:hAnsi="Arial" w:cs="Arial"/>
          <w:sz w:val="28"/>
          <w:szCs w:val="28"/>
          <w:vertAlign w:val="superscript"/>
          <w:lang w:val="en-US"/>
        </w:rPr>
        <w:t xml:space="preserve"> </w:t>
      </w:r>
      <w:r w:rsidR="00071754" w:rsidRPr="00071754">
        <w:rPr>
          <w:rFonts w:ascii="Arial" w:hAnsi="Arial" w:cs="Arial"/>
          <w:sz w:val="28"/>
          <w:szCs w:val="28"/>
          <w:lang w:val="en-US"/>
        </w:rPr>
        <w:t>Pregnancy is one of the non-renal extra-luminal causes of the spontaneous renal fornix rupture.</w:t>
      </w:r>
    </w:p>
    <w:p w14:paraId="0E47ED07" w14:textId="77777777" w:rsidR="00071754" w:rsidRPr="00071754" w:rsidRDefault="00071754" w:rsidP="00071754">
      <w:pPr>
        <w:rPr>
          <w:rFonts w:ascii="Arial" w:hAnsi="Arial" w:cs="Arial"/>
          <w:sz w:val="28"/>
          <w:szCs w:val="28"/>
        </w:rPr>
      </w:pPr>
      <w:r w:rsidRPr="00071754">
        <w:rPr>
          <w:rFonts w:ascii="Arial" w:hAnsi="Arial" w:cs="Arial"/>
          <w:sz w:val="28"/>
          <w:szCs w:val="28"/>
          <w:lang w:val="en-US"/>
        </w:rPr>
        <w:t>Sigmoid volvulus is one of the common causes of intestinal obstruction accounting for 2 to 5% of emergency case load in the western world.</w:t>
      </w:r>
      <w:r w:rsidRPr="00071754">
        <w:rPr>
          <w:rFonts w:ascii="Arial" w:hAnsi="Arial" w:cs="Arial"/>
          <w:sz w:val="28"/>
          <w:szCs w:val="28"/>
          <w:vertAlign w:val="superscript"/>
          <w:lang w:val="en-US"/>
        </w:rPr>
        <w:t xml:space="preserve"> </w:t>
      </w:r>
      <w:r w:rsidRPr="00071754">
        <w:rPr>
          <w:rFonts w:ascii="Arial" w:hAnsi="Arial" w:cs="Arial"/>
          <w:sz w:val="28"/>
          <w:szCs w:val="28"/>
          <w:lang w:val="en-US"/>
        </w:rPr>
        <w:t>The sigmoid colon twists around its own mesentery leading to intestinal obstruction and a compromised blood supply.</w:t>
      </w:r>
      <w:r w:rsidRPr="00071754">
        <w:rPr>
          <w:rFonts w:ascii="Arial" w:hAnsi="Arial" w:cs="Arial"/>
          <w:sz w:val="28"/>
          <w:szCs w:val="28"/>
          <w:vertAlign w:val="superscript"/>
          <w:lang w:val="en-US"/>
        </w:rPr>
        <w:t xml:space="preserve"> [1] </w:t>
      </w:r>
    </w:p>
    <w:p w14:paraId="785CD9FD" w14:textId="38254469" w:rsidR="00071754" w:rsidRDefault="00071754" w:rsidP="00071754">
      <w:pPr>
        <w:rPr>
          <w:rFonts w:ascii="Arial" w:hAnsi="Arial" w:cs="Arial"/>
          <w:sz w:val="28"/>
          <w:szCs w:val="28"/>
          <w:lang w:val="en-US"/>
        </w:rPr>
      </w:pPr>
      <w:r w:rsidRPr="00071754">
        <w:rPr>
          <w:rFonts w:ascii="Arial" w:hAnsi="Arial" w:cs="Arial"/>
          <w:sz w:val="28"/>
          <w:szCs w:val="28"/>
          <w:lang w:val="en-US"/>
        </w:rPr>
        <w:t xml:space="preserve">In this case, the twisted sigmoid mesentery resulted in extrinsic compression of the distal ureter leading to spontaneous rupture at the Pelvic- Ureteric Junction (PUJ). </w:t>
      </w:r>
    </w:p>
    <w:p w14:paraId="4F9C4E5F" w14:textId="77777777" w:rsidR="00071754" w:rsidRPr="00071754" w:rsidRDefault="00071754" w:rsidP="00071754">
      <w:pPr>
        <w:rPr>
          <w:rFonts w:ascii="Arial" w:hAnsi="Arial" w:cs="Arial"/>
          <w:sz w:val="28"/>
          <w:szCs w:val="28"/>
        </w:rPr>
      </w:pPr>
      <w:r w:rsidRPr="00071754">
        <w:rPr>
          <w:rFonts w:ascii="Arial" w:hAnsi="Arial" w:cs="Arial"/>
          <w:b/>
          <w:bCs/>
          <w:sz w:val="28"/>
          <w:szCs w:val="28"/>
          <w:u w:val="single"/>
          <w:lang w:val="en-US"/>
        </w:rPr>
        <w:t>Case Presentation:</w:t>
      </w:r>
      <w:r>
        <w:rPr>
          <w:rFonts w:ascii="Arial" w:hAnsi="Arial" w:cs="Arial"/>
          <w:sz w:val="28"/>
          <w:szCs w:val="28"/>
          <w:lang w:val="en-US"/>
        </w:rPr>
        <w:t xml:space="preserve"> </w:t>
      </w:r>
      <w:r w:rsidRPr="00071754">
        <w:rPr>
          <w:rFonts w:ascii="Arial" w:hAnsi="Arial" w:cs="Arial"/>
          <w:sz w:val="28"/>
          <w:szCs w:val="28"/>
        </w:rPr>
        <w:t>A 57-year-old lady, with background of cerebral palsy and learning difficulties was admitted in emergency with abdominal pain and distension. The caretakers had noted progressive abdominal distension and no bowel movements for four days  and hence subsequent surgical referral. National early warning score (NEWS) was 0. The abdomen was distended, tense and tender on palpation but no guarding or rigidity was elicited. Rectal examination showed an empty rectum. Patient responded well to initial resuscitation.</w:t>
      </w:r>
    </w:p>
    <w:p w14:paraId="7EC94139" w14:textId="77777777" w:rsidR="00071754" w:rsidRDefault="00071754" w:rsidP="00071754">
      <w:pPr>
        <w:rPr>
          <w:rFonts w:ascii="Arial" w:hAnsi="Arial" w:cs="Arial"/>
          <w:b/>
          <w:bCs/>
          <w:sz w:val="28"/>
          <w:szCs w:val="28"/>
          <w:lang w:val="en-US"/>
        </w:rPr>
      </w:pPr>
      <w:r w:rsidRPr="00071754">
        <w:rPr>
          <w:rFonts w:ascii="Arial" w:hAnsi="Arial" w:cs="Arial"/>
          <w:b/>
          <w:bCs/>
          <w:sz w:val="28"/>
          <w:szCs w:val="28"/>
          <w:u w:val="single"/>
        </w:rPr>
        <w:t xml:space="preserve">Investigations and Initial Management: </w:t>
      </w:r>
    </w:p>
    <w:p w14:paraId="4714D39E" w14:textId="3DDA67B4" w:rsidR="00071754" w:rsidRPr="00071754" w:rsidRDefault="00071754" w:rsidP="00071754">
      <w:pPr>
        <w:rPr>
          <w:rFonts w:ascii="Arial" w:hAnsi="Arial" w:cs="Arial"/>
          <w:sz w:val="28"/>
          <w:szCs w:val="28"/>
        </w:rPr>
      </w:pPr>
      <w:r w:rsidRPr="00071754">
        <w:rPr>
          <w:rFonts w:ascii="Arial" w:hAnsi="Arial" w:cs="Arial"/>
          <w:b/>
          <w:bCs/>
          <w:sz w:val="28"/>
          <w:szCs w:val="28"/>
          <w:lang w:val="en-US"/>
        </w:rPr>
        <w:t>Blood investigations:</w:t>
      </w:r>
      <w:r w:rsidRPr="00071754">
        <w:rPr>
          <w:rFonts w:ascii="Arial" w:hAnsi="Arial" w:cs="Arial"/>
          <w:sz w:val="28"/>
          <w:szCs w:val="28"/>
          <w:lang w:val="en-US"/>
        </w:rPr>
        <w:t xml:space="preserve"> Hb-137 g/L, WCC- 17.6 x 10</w:t>
      </w:r>
      <w:r w:rsidRPr="00071754">
        <w:rPr>
          <w:rFonts w:ascii="Arial" w:hAnsi="Arial" w:cs="Arial"/>
          <w:sz w:val="28"/>
          <w:szCs w:val="28"/>
          <w:vertAlign w:val="superscript"/>
          <w:lang w:val="en-US"/>
        </w:rPr>
        <w:t>9</w:t>
      </w:r>
      <w:r w:rsidRPr="00071754">
        <w:rPr>
          <w:rFonts w:ascii="Arial" w:hAnsi="Arial" w:cs="Arial"/>
          <w:sz w:val="28"/>
          <w:szCs w:val="28"/>
          <w:lang w:val="en-US"/>
        </w:rPr>
        <w:t>/L, CRP- 70, GFR- 82</w:t>
      </w:r>
    </w:p>
    <w:p w14:paraId="050728EC" w14:textId="77777777" w:rsidR="00071754" w:rsidRPr="00071754" w:rsidRDefault="00071754" w:rsidP="00071754">
      <w:pPr>
        <w:rPr>
          <w:rFonts w:ascii="Arial" w:hAnsi="Arial" w:cs="Arial"/>
          <w:sz w:val="28"/>
          <w:szCs w:val="28"/>
        </w:rPr>
      </w:pPr>
      <w:r w:rsidRPr="00071754">
        <w:rPr>
          <w:rFonts w:ascii="Arial" w:hAnsi="Arial" w:cs="Arial"/>
          <w:b/>
          <w:bCs/>
          <w:sz w:val="28"/>
          <w:szCs w:val="28"/>
          <w:lang w:val="en-US"/>
        </w:rPr>
        <w:t xml:space="preserve">Chest X- ray- </w:t>
      </w:r>
      <w:r w:rsidRPr="00071754">
        <w:rPr>
          <w:rFonts w:ascii="Arial" w:hAnsi="Arial" w:cs="Arial"/>
          <w:sz w:val="28"/>
          <w:szCs w:val="28"/>
          <w:lang w:val="en-US"/>
        </w:rPr>
        <w:t>NAD</w:t>
      </w:r>
    </w:p>
    <w:p w14:paraId="7EB99503" w14:textId="77777777" w:rsidR="00071754" w:rsidRPr="00071754" w:rsidRDefault="00071754" w:rsidP="00071754">
      <w:pPr>
        <w:rPr>
          <w:rFonts w:ascii="Arial" w:hAnsi="Arial" w:cs="Arial"/>
          <w:sz w:val="28"/>
          <w:szCs w:val="28"/>
        </w:rPr>
      </w:pPr>
      <w:r w:rsidRPr="00071754">
        <w:rPr>
          <w:rFonts w:ascii="Arial" w:hAnsi="Arial" w:cs="Arial"/>
          <w:b/>
          <w:bCs/>
          <w:sz w:val="28"/>
          <w:szCs w:val="28"/>
          <w:lang w:val="en-US"/>
        </w:rPr>
        <w:t>Abdominal X-ray</w:t>
      </w:r>
      <w:r w:rsidRPr="00071754">
        <w:rPr>
          <w:rFonts w:ascii="Arial" w:hAnsi="Arial" w:cs="Arial"/>
          <w:sz w:val="28"/>
          <w:szCs w:val="28"/>
          <w:lang w:val="en-US"/>
        </w:rPr>
        <w:t>- classic coffee bean sign suggestive of a volvulus (Figure 1).</w:t>
      </w:r>
    </w:p>
    <w:p w14:paraId="30968588" w14:textId="77777777" w:rsidR="00071754" w:rsidRPr="00071754" w:rsidRDefault="00071754" w:rsidP="00071754">
      <w:pPr>
        <w:rPr>
          <w:rFonts w:ascii="Arial" w:hAnsi="Arial" w:cs="Arial"/>
          <w:sz w:val="28"/>
          <w:szCs w:val="28"/>
        </w:rPr>
      </w:pPr>
      <w:r w:rsidRPr="00071754">
        <w:rPr>
          <w:rFonts w:ascii="Arial" w:hAnsi="Arial" w:cs="Arial"/>
          <w:b/>
          <w:bCs/>
          <w:sz w:val="28"/>
          <w:szCs w:val="28"/>
          <w:lang w:val="en-US"/>
        </w:rPr>
        <w:t>CT AP</w:t>
      </w:r>
      <w:r w:rsidRPr="00071754">
        <w:rPr>
          <w:rFonts w:ascii="Arial" w:hAnsi="Arial" w:cs="Arial"/>
          <w:sz w:val="28"/>
          <w:szCs w:val="28"/>
          <w:lang w:val="en-US"/>
        </w:rPr>
        <w:t>- confirmed the features of volvulus and no other bowel related pathology.</w:t>
      </w:r>
    </w:p>
    <w:p w14:paraId="198D8C8C" w14:textId="77777777" w:rsidR="00071754" w:rsidRPr="00071754" w:rsidRDefault="00071754" w:rsidP="00071754">
      <w:pPr>
        <w:rPr>
          <w:rFonts w:ascii="Arial" w:hAnsi="Arial" w:cs="Arial"/>
          <w:sz w:val="28"/>
          <w:szCs w:val="28"/>
        </w:rPr>
      </w:pPr>
      <w:r w:rsidRPr="00071754">
        <w:rPr>
          <w:rFonts w:ascii="Arial" w:hAnsi="Arial" w:cs="Arial"/>
          <w:sz w:val="28"/>
          <w:szCs w:val="28"/>
          <w:lang w:val="en-US"/>
        </w:rPr>
        <w:lastRenderedPageBreak/>
        <w:t xml:space="preserve">A </w:t>
      </w:r>
      <w:r w:rsidRPr="00071754">
        <w:rPr>
          <w:rFonts w:ascii="Arial" w:hAnsi="Arial" w:cs="Arial"/>
          <w:b/>
          <w:bCs/>
          <w:sz w:val="28"/>
          <w:szCs w:val="28"/>
          <w:lang w:val="en-US"/>
        </w:rPr>
        <w:t xml:space="preserve">rigid sigmoidoscopy </w:t>
      </w:r>
      <w:r w:rsidRPr="00071754">
        <w:rPr>
          <w:rFonts w:ascii="Arial" w:hAnsi="Arial" w:cs="Arial"/>
          <w:sz w:val="28"/>
          <w:szCs w:val="28"/>
          <w:lang w:val="en-US"/>
        </w:rPr>
        <w:t>with flatus tube insertion was performed to decompress the bowel.</w:t>
      </w:r>
    </w:p>
    <w:p w14:paraId="66559E0A" w14:textId="77777777" w:rsidR="00071754" w:rsidRPr="00071754" w:rsidRDefault="00071754" w:rsidP="00071754">
      <w:pPr>
        <w:rPr>
          <w:rFonts w:ascii="Arial" w:hAnsi="Arial" w:cs="Arial"/>
          <w:sz w:val="28"/>
          <w:szCs w:val="28"/>
        </w:rPr>
      </w:pPr>
      <w:r w:rsidRPr="00071754">
        <w:rPr>
          <w:rFonts w:ascii="Arial" w:hAnsi="Arial" w:cs="Arial"/>
          <w:sz w:val="28"/>
          <w:szCs w:val="28"/>
          <w:lang w:val="en-US"/>
        </w:rPr>
        <w:t xml:space="preserve">The following day, patient appeared more distressed and complained of intermittent colic in the left flank, and increasing tenderness over abdomen. </w:t>
      </w:r>
    </w:p>
    <w:p w14:paraId="7D9CD4E6" w14:textId="77777777" w:rsidR="00071754" w:rsidRPr="00071754" w:rsidRDefault="00071754" w:rsidP="00071754">
      <w:pPr>
        <w:rPr>
          <w:rFonts w:ascii="Arial" w:hAnsi="Arial" w:cs="Arial"/>
          <w:sz w:val="28"/>
          <w:szCs w:val="28"/>
        </w:rPr>
      </w:pPr>
      <w:r w:rsidRPr="00071754">
        <w:rPr>
          <w:rFonts w:ascii="Arial" w:hAnsi="Arial" w:cs="Arial"/>
          <w:b/>
          <w:bCs/>
          <w:sz w:val="28"/>
          <w:szCs w:val="28"/>
          <w:lang w:val="en-US"/>
        </w:rPr>
        <w:t>Repeat blood investigations:</w:t>
      </w:r>
      <w:r w:rsidRPr="00071754">
        <w:rPr>
          <w:rFonts w:ascii="Arial" w:hAnsi="Arial" w:cs="Arial"/>
          <w:sz w:val="28"/>
          <w:szCs w:val="28"/>
          <w:lang w:val="en-US"/>
        </w:rPr>
        <w:t xml:space="preserve"> CRP- 430mgL, GFR-32, Serum Creatinine 141umol/L.</w:t>
      </w:r>
    </w:p>
    <w:p w14:paraId="08BE4830" w14:textId="09D829F0" w:rsidR="00071754" w:rsidRDefault="00071754" w:rsidP="00071754">
      <w:pPr>
        <w:rPr>
          <w:rFonts w:ascii="Arial" w:hAnsi="Arial" w:cs="Arial"/>
          <w:sz w:val="28"/>
          <w:szCs w:val="28"/>
          <w:lang w:val="en-US"/>
        </w:rPr>
      </w:pPr>
      <w:r w:rsidRPr="00071754">
        <w:rPr>
          <w:rFonts w:ascii="Arial" w:hAnsi="Arial" w:cs="Arial"/>
          <w:b/>
          <w:bCs/>
          <w:sz w:val="28"/>
          <w:szCs w:val="28"/>
          <w:lang w:val="en-US"/>
        </w:rPr>
        <w:t>Repeat CT AP-</w:t>
      </w:r>
      <w:r w:rsidRPr="00071754">
        <w:rPr>
          <w:rFonts w:ascii="Arial" w:hAnsi="Arial" w:cs="Arial"/>
          <w:sz w:val="28"/>
          <w:szCs w:val="28"/>
          <w:lang w:val="en-US"/>
        </w:rPr>
        <w:t xml:space="preserve"> left sided hydronephrosis and hydroureter with active extravasation of contrast from the left renal pelvis into the retroperitoneum indicating a rupture (Figure 2). The dilatation of the ureter evident till the lower end where the root of the sigmoid mesentery is attached. No evidence of contrast in the distal ureter and the ureter is non-dilated beyond the transition point of extrinsic compression. The bowel wall of the sigmoid colon appeared non-enhancing suggesting ischemia.</w:t>
      </w:r>
    </w:p>
    <w:p w14:paraId="44CD83F9" w14:textId="77296C62" w:rsidR="00071754" w:rsidRDefault="00071754" w:rsidP="00071754">
      <w:pPr>
        <w:jc w:val="center"/>
        <w:rPr>
          <w:rFonts w:ascii="Arial" w:hAnsi="Arial" w:cs="Arial"/>
          <w:sz w:val="28"/>
          <w:szCs w:val="28"/>
        </w:rPr>
      </w:pPr>
      <w:r w:rsidRPr="00071754">
        <w:rPr>
          <w:rFonts w:ascii="Arial" w:hAnsi="Arial" w:cs="Arial"/>
          <w:noProof/>
          <w:sz w:val="28"/>
          <w:szCs w:val="28"/>
        </w:rPr>
        <w:drawing>
          <wp:inline distT="0" distB="0" distL="0" distR="0" wp14:anchorId="034D17C1" wp14:editId="11995AEB">
            <wp:extent cx="2551930" cy="2597727"/>
            <wp:effectExtent l="0" t="0" r="1270" b="0"/>
            <wp:docPr id="3097" name="image3.jpeg" descr="A picture containing x-ray film&#10;&#10;Description automatically generated">
              <a:extLst xmlns:a="http://schemas.openxmlformats.org/drawingml/2006/main">
                <a:ext uri="{FF2B5EF4-FFF2-40B4-BE49-F238E27FC236}">
                  <a16:creationId xmlns:a16="http://schemas.microsoft.com/office/drawing/2014/main" id="{8E80139B-05CC-A9BE-F733-88FA1D2DD1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 name="image3.jpeg" descr="A picture containing x-ray film&#10;&#10;Description automatically generated">
                      <a:extLst>
                        <a:ext uri="{FF2B5EF4-FFF2-40B4-BE49-F238E27FC236}">
                          <a16:creationId xmlns:a16="http://schemas.microsoft.com/office/drawing/2014/main" id="{8E80139B-05CC-A9BE-F733-88FA1D2DD12A}"/>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70639" cy="2616772"/>
                    </a:xfrm>
                    <a:prstGeom prst="rect">
                      <a:avLst/>
                    </a:prstGeom>
                    <a:noFill/>
                    <a:ln>
                      <a:noFill/>
                    </a:ln>
                  </pic:spPr>
                </pic:pic>
              </a:graphicData>
            </a:graphic>
          </wp:inline>
        </w:drawing>
      </w:r>
    </w:p>
    <w:p w14:paraId="46678B4C" w14:textId="19ABD602" w:rsidR="00071754" w:rsidRDefault="00071754" w:rsidP="00071754">
      <w:pPr>
        <w:jc w:val="center"/>
        <w:rPr>
          <w:rFonts w:ascii="Arial" w:hAnsi="Arial" w:cs="Arial"/>
          <w:sz w:val="28"/>
          <w:szCs w:val="28"/>
        </w:rPr>
      </w:pPr>
      <w:r>
        <w:rPr>
          <w:rFonts w:ascii="Arial" w:hAnsi="Arial" w:cs="Arial"/>
          <w:sz w:val="28"/>
          <w:szCs w:val="28"/>
        </w:rPr>
        <w:t>Figure 1</w:t>
      </w:r>
    </w:p>
    <w:p w14:paraId="6A5D3F94" w14:textId="77777777" w:rsidR="00231C2E" w:rsidRDefault="00231C2E" w:rsidP="00071754">
      <w:pPr>
        <w:jc w:val="center"/>
        <w:rPr>
          <w:rFonts w:ascii="Arial" w:hAnsi="Arial" w:cs="Arial"/>
          <w:sz w:val="28"/>
          <w:szCs w:val="28"/>
        </w:rPr>
      </w:pPr>
    </w:p>
    <w:p w14:paraId="7B94860C" w14:textId="541D9F3B" w:rsidR="00071754" w:rsidRDefault="00071754" w:rsidP="00071754">
      <w:pPr>
        <w:jc w:val="center"/>
        <w:rPr>
          <w:rFonts w:ascii="Arial" w:hAnsi="Arial" w:cs="Arial"/>
          <w:sz w:val="28"/>
          <w:szCs w:val="28"/>
        </w:rPr>
      </w:pPr>
      <w:r w:rsidRPr="00071754">
        <w:rPr>
          <w:rFonts w:ascii="Arial" w:hAnsi="Arial" w:cs="Arial"/>
          <w:noProof/>
          <w:sz w:val="28"/>
          <w:szCs w:val="28"/>
        </w:rPr>
        <w:lastRenderedPageBreak/>
        <w:drawing>
          <wp:inline distT="0" distB="0" distL="0" distR="0" wp14:anchorId="59093967" wp14:editId="55E0F5D9">
            <wp:extent cx="2708564" cy="2662922"/>
            <wp:effectExtent l="0" t="0" r="0" b="4445"/>
            <wp:docPr id="3098" name="image4.jpeg" descr="A picture containing text, dark&#10;&#10;Description automatically generated">
              <a:extLst xmlns:a="http://schemas.openxmlformats.org/drawingml/2006/main">
                <a:ext uri="{FF2B5EF4-FFF2-40B4-BE49-F238E27FC236}">
                  <a16:creationId xmlns:a16="http://schemas.microsoft.com/office/drawing/2014/main" id="{A9D481FA-A10D-57B7-200B-0F9B9A9358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 name="image4.jpeg" descr="A picture containing text, dark&#10;&#10;Description automatically generated">
                      <a:extLst>
                        <a:ext uri="{FF2B5EF4-FFF2-40B4-BE49-F238E27FC236}">
                          <a16:creationId xmlns:a16="http://schemas.microsoft.com/office/drawing/2014/main" id="{A9D481FA-A10D-57B7-200B-0F9B9A935805}"/>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28797" cy="2682814"/>
                    </a:xfrm>
                    <a:prstGeom prst="rect">
                      <a:avLst/>
                    </a:prstGeom>
                    <a:noFill/>
                    <a:ln>
                      <a:noFill/>
                    </a:ln>
                  </pic:spPr>
                </pic:pic>
              </a:graphicData>
            </a:graphic>
          </wp:inline>
        </w:drawing>
      </w:r>
    </w:p>
    <w:p w14:paraId="0F7281FD" w14:textId="07DF3974" w:rsidR="00231C2E" w:rsidRDefault="00231C2E" w:rsidP="00071754">
      <w:pPr>
        <w:jc w:val="center"/>
        <w:rPr>
          <w:rFonts w:ascii="Arial" w:hAnsi="Arial" w:cs="Arial"/>
          <w:sz w:val="28"/>
          <w:szCs w:val="28"/>
        </w:rPr>
      </w:pPr>
      <w:r>
        <w:rPr>
          <w:rFonts w:ascii="Arial" w:hAnsi="Arial" w:cs="Arial"/>
          <w:sz w:val="28"/>
          <w:szCs w:val="28"/>
        </w:rPr>
        <w:t>Figure 2</w:t>
      </w:r>
    </w:p>
    <w:p w14:paraId="62192BB8" w14:textId="30DBFF0D" w:rsidR="00071754" w:rsidRDefault="00071754" w:rsidP="00071754">
      <w:pPr>
        <w:rPr>
          <w:rFonts w:ascii="Arial" w:hAnsi="Arial" w:cs="Arial"/>
          <w:sz w:val="28"/>
          <w:szCs w:val="28"/>
        </w:rPr>
      </w:pPr>
      <w:r w:rsidRPr="00071754">
        <w:rPr>
          <w:rFonts w:ascii="Arial" w:hAnsi="Arial" w:cs="Arial"/>
          <w:b/>
          <w:bCs/>
          <w:sz w:val="28"/>
          <w:szCs w:val="28"/>
          <w:u w:val="single"/>
        </w:rPr>
        <w:t>Treatment</w:t>
      </w:r>
      <w:r>
        <w:rPr>
          <w:rFonts w:ascii="Arial" w:hAnsi="Arial" w:cs="Arial"/>
          <w:sz w:val="28"/>
          <w:szCs w:val="28"/>
        </w:rPr>
        <w:t xml:space="preserve">: </w:t>
      </w:r>
      <w:r w:rsidRPr="00071754">
        <w:rPr>
          <w:rFonts w:ascii="Arial" w:hAnsi="Arial" w:cs="Arial"/>
          <w:sz w:val="28"/>
          <w:szCs w:val="28"/>
          <w:lang w:val="en-US"/>
        </w:rPr>
        <w:t>After discussion with the urologist, a DJ stent was inserted in the left renal tract under fluoroscopic guidance (Figure 3). Subsequent laparotomy revealed a non-viable gangrenous segment of sigmoid colon. Sigmoid colectomy was performed with end colostomy.</w:t>
      </w:r>
      <w:r w:rsidRPr="00071754">
        <w:rPr>
          <w:rFonts w:ascii="Arial" w:hAnsi="Arial" w:cs="Arial"/>
          <w:sz w:val="28"/>
          <w:szCs w:val="28"/>
          <w:lang w:val="en-IN"/>
        </w:rPr>
        <w:t xml:space="preserve"> </w:t>
      </w:r>
      <w:r w:rsidRPr="00071754">
        <w:rPr>
          <w:rFonts w:ascii="Arial" w:hAnsi="Arial" w:cs="Arial"/>
          <w:sz w:val="28"/>
          <w:szCs w:val="28"/>
        </w:rPr>
        <w:t xml:space="preserve">The patient made an uneventful recovery and was discharged 2 weeks following her admission. The urologists removed the stent after an interval of 3 months. </w:t>
      </w:r>
    </w:p>
    <w:p w14:paraId="02D468E6" w14:textId="29C8E47F" w:rsidR="00071754" w:rsidRDefault="00071754" w:rsidP="00071754">
      <w:pPr>
        <w:rPr>
          <w:rFonts w:ascii="Arial" w:hAnsi="Arial" w:cs="Arial"/>
          <w:sz w:val="28"/>
          <w:szCs w:val="28"/>
        </w:rPr>
      </w:pPr>
    </w:p>
    <w:p w14:paraId="1AF2A4AC" w14:textId="47C38747" w:rsidR="00071754" w:rsidRDefault="00071754" w:rsidP="00071754">
      <w:pPr>
        <w:jc w:val="center"/>
        <w:rPr>
          <w:rFonts w:ascii="Arial" w:hAnsi="Arial" w:cs="Arial"/>
          <w:sz w:val="28"/>
          <w:szCs w:val="28"/>
        </w:rPr>
      </w:pPr>
      <w:r w:rsidRPr="00071754">
        <w:rPr>
          <w:rFonts w:ascii="Arial" w:hAnsi="Arial" w:cs="Arial"/>
          <w:noProof/>
          <w:sz w:val="28"/>
          <w:szCs w:val="28"/>
        </w:rPr>
        <w:drawing>
          <wp:inline distT="0" distB="0" distL="0" distR="0" wp14:anchorId="4A07F0DB" wp14:editId="68451490">
            <wp:extent cx="5194791" cy="1911928"/>
            <wp:effectExtent l="0" t="0" r="6350" b="0"/>
            <wp:docPr id="3101" name="image5.jpeg" descr="A close-up of the back of a person's head&#10;&#10;Description automatically generated with low confidence">
              <a:extLst xmlns:a="http://schemas.openxmlformats.org/drawingml/2006/main">
                <a:ext uri="{FF2B5EF4-FFF2-40B4-BE49-F238E27FC236}">
                  <a16:creationId xmlns:a16="http://schemas.microsoft.com/office/drawing/2014/main" id="{605D280B-1C6A-77D9-1D5B-F7ED8F17AE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 name="image5.jpeg" descr="A close-up of the back of a person's head&#10;&#10;Description automatically generated with low confidence">
                      <a:extLst>
                        <a:ext uri="{FF2B5EF4-FFF2-40B4-BE49-F238E27FC236}">
                          <a16:creationId xmlns:a16="http://schemas.microsoft.com/office/drawing/2014/main" id="{605D280B-1C6A-77D9-1D5B-F7ED8F17AEA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9119" cy="1920882"/>
                    </a:xfrm>
                    <a:prstGeom prst="rect">
                      <a:avLst/>
                    </a:prstGeom>
                    <a:noFill/>
                    <a:ln>
                      <a:noFill/>
                    </a:ln>
                  </pic:spPr>
                </pic:pic>
              </a:graphicData>
            </a:graphic>
          </wp:inline>
        </w:drawing>
      </w:r>
    </w:p>
    <w:p w14:paraId="33298F60" w14:textId="3D32BD77" w:rsidR="00071754" w:rsidRDefault="00071754" w:rsidP="00071754">
      <w:pPr>
        <w:jc w:val="center"/>
        <w:rPr>
          <w:rFonts w:ascii="Arial" w:hAnsi="Arial" w:cs="Arial"/>
          <w:sz w:val="28"/>
          <w:szCs w:val="28"/>
        </w:rPr>
      </w:pPr>
      <w:r>
        <w:rPr>
          <w:rFonts w:ascii="Arial" w:hAnsi="Arial" w:cs="Arial"/>
          <w:sz w:val="28"/>
          <w:szCs w:val="28"/>
        </w:rPr>
        <w:t>Figure 3</w:t>
      </w:r>
    </w:p>
    <w:p w14:paraId="75F7A862" w14:textId="3C649916" w:rsidR="00071754" w:rsidRDefault="00071754" w:rsidP="00071754">
      <w:pPr>
        <w:jc w:val="center"/>
        <w:rPr>
          <w:rFonts w:ascii="Arial" w:hAnsi="Arial" w:cs="Arial"/>
          <w:sz w:val="28"/>
          <w:szCs w:val="28"/>
        </w:rPr>
      </w:pPr>
    </w:p>
    <w:p w14:paraId="2A244B97" w14:textId="5C34902C" w:rsidR="00071754" w:rsidRPr="00071754" w:rsidRDefault="00071754" w:rsidP="00071754">
      <w:pPr>
        <w:rPr>
          <w:rFonts w:ascii="Arial" w:hAnsi="Arial" w:cs="Arial"/>
          <w:sz w:val="28"/>
          <w:szCs w:val="28"/>
        </w:rPr>
      </w:pPr>
      <w:r w:rsidRPr="00071754">
        <w:rPr>
          <w:rFonts w:ascii="Arial" w:hAnsi="Arial" w:cs="Arial"/>
          <w:b/>
          <w:bCs/>
          <w:sz w:val="28"/>
          <w:szCs w:val="28"/>
          <w:u w:val="single"/>
          <w:lang w:val="en-US"/>
        </w:rPr>
        <w:t>Discussion:</w:t>
      </w:r>
      <w:r>
        <w:rPr>
          <w:rFonts w:ascii="Arial" w:hAnsi="Arial" w:cs="Arial"/>
          <w:sz w:val="28"/>
          <w:szCs w:val="28"/>
          <w:lang w:val="en-US"/>
        </w:rPr>
        <w:t xml:space="preserve"> </w:t>
      </w:r>
      <w:r w:rsidRPr="00071754">
        <w:rPr>
          <w:rFonts w:ascii="Arial" w:hAnsi="Arial" w:cs="Arial"/>
          <w:sz w:val="28"/>
          <w:szCs w:val="28"/>
          <w:lang w:val="en-US"/>
        </w:rPr>
        <w:t>Flank pain radiating to groin is most common clinical presentation of spontaneous rupture of renal pelvis (SRRP). SRRP is also associated with hematuria.</w:t>
      </w:r>
      <w:r w:rsidRPr="00071754">
        <w:rPr>
          <w:rFonts w:ascii="Arial" w:hAnsi="Arial" w:cs="Arial"/>
          <w:sz w:val="28"/>
          <w:szCs w:val="28"/>
          <w:vertAlign w:val="superscript"/>
          <w:lang w:val="en-US"/>
        </w:rPr>
        <w:t xml:space="preserve">[2] </w:t>
      </w:r>
      <w:r w:rsidRPr="00071754">
        <w:rPr>
          <w:rFonts w:ascii="Arial" w:hAnsi="Arial" w:cs="Arial"/>
          <w:sz w:val="28"/>
          <w:szCs w:val="28"/>
          <w:lang w:val="en-US"/>
        </w:rPr>
        <w:t xml:space="preserve">Serial ultrasound examinations, Contrast enhanced CT scans and Intravenous Pyelogram are commonly employed imaging studies used for diagnosis of SRRP. Diversion of </w:t>
      </w:r>
      <w:r w:rsidRPr="00071754">
        <w:rPr>
          <w:rFonts w:ascii="Arial" w:hAnsi="Arial" w:cs="Arial"/>
          <w:sz w:val="28"/>
          <w:szCs w:val="28"/>
          <w:lang w:val="en-US"/>
        </w:rPr>
        <w:lastRenderedPageBreak/>
        <w:t>urine by means of a DJ-stent or a percutaneous nephrostomy are the  treatment modality employed for small ruptures of renal pelvis.</w:t>
      </w:r>
      <w:r w:rsidRPr="00071754">
        <w:rPr>
          <w:rFonts w:ascii="Arial" w:hAnsi="Arial" w:cs="Arial"/>
          <w:sz w:val="28"/>
          <w:szCs w:val="28"/>
          <w:vertAlign w:val="superscript"/>
          <w:lang w:val="en-US"/>
        </w:rPr>
        <w:t>[3]</w:t>
      </w:r>
    </w:p>
    <w:p w14:paraId="4D74BBB8" w14:textId="678BC352" w:rsidR="00071754" w:rsidRDefault="00071754" w:rsidP="00071754">
      <w:pPr>
        <w:rPr>
          <w:rFonts w:ascii="Arial" w:hAnsi="Arial" w:cs="Arial"/>
          <w:sz w:val="28"/>
          <w:szCs w:val="28"/>
        </w:rPr>
      </w:pPr>
      <w:r w:rsidRPr="00071754">
        <w:rPr>
          <w:rFonts w:ascii="Arial" w:hAnsi="Arial" w:cs="Arial"/>
          <w:sz w:val="28"/>
          <w:szCs w:val="28"/>
        </w:rPr>
        <w:t>In our patient, the rupture of renal pelvis could be secondary to back pressure changes that lead to high intra-ureteric pressure due to obstructed distal ureter.</w:t>
      </w:r>
    </w:p>
    <w:p w14:paraId="77D10ABC" w14:textId="2995C85B" w:rsidR="00071754" w:rsidRDefault="00071754" w:rsidP="00071754">
      <w:pPr>
        <w:rPr>
          <w:rFonts w:ascii="Arial" w:hAnsi="Arial" w:cs="Arial"/>
          <w:sz w:val="28"/>
          <w:szCs w:val="28"/>
        </w:rPr>
      </w:pPr>
    </w:p>
    <w:p w14:paraId="723420D9" w14:textId="339D0A2A" w:rsidR="00071754" w:rsidRDefault="00071754" w:rsidP="00071754">
      <w:pPr>
        <w:rPr>
          <w:rFonts w:ascii="Arial" w:hAnsi="Arial" w:cs="Arial"/>
          <w:b/>
          <w:bCs/>
          <w:sz w:val="28"/>
          <w:szCs w:val="28"/>
          <w:u w:val="single"/>
        </w:rPr>
      </w:pPr>
      <w:r w:rsidRPr="00071754">
        <w:rPr>
          <w:rFonts w:ascii="Arial" w:hAnsi="Arial" w:cs="Arial"/>
          <w:b/>
          <w:bCs/>
          <w:sz w:val="28"/>
          <w:szCs w:val="28"/>
          <w:u w:val="single"/>
        </w:rPr>
        <w:t>References:</w:t>
      </w:r>
    </w:p>
    <w:p w14:paraId="465263EA" w14:textId="77777777" w:rsidR="00071754" w:rsidRPr="00071754" w:rsidRDefault="00071754" w:rsidP="00071754">
      <w:pPr>
        <w:numPr>
          <w:ilvl w:val="0"/>
          <w:numId w:val="1"/>
        </w:numPr>
        <w:rPr>
          <w:rFonts w:ascii="Arial" w:hAnsi="Arial" w:cs="Arial"/>
          <w:sz w:val="28"/>
          <w:szCs w:val="28"/>
          <w:u w:val="single"/>
        </w:rPr>
      </w:pPr>
      <w:r w:rsidRPr="00071754">
        <w:rPr>
          <w:rFonts w:ascii="Arial" w:hAnsi="Arial" w:cs="Arial"/>
          <w:sz w:val="28"/>
          <w:szCs w:val="28"/>
          <w:u w:val="single"/>
          <w:lang w:val="en-US"/>
        </w:rPr>
        <w:t>Baiu I, Shelton A. Sigmoid Volvulus. JAMA. 2019;321(24):2478. doi:10.1001/jama.2019.2349.</w:t>
      </w:r>
    </w:p>
    <w:p w14:paraId="61CFDB67" w14:textId="77777777" w:rsidR="00071754" w:rsidRPr="00071754" w:rsidRDefault="00071754" w:rsidP="00071754">
      <w:pPr>
        <w:numPr>
          <w:ilvl w:val="0"/>
          <w:numId w:val="1"/>
        </w:numPr>
        <w:rPr>
          <w:rFonts w:ascii="Arial" w:hAnsi="Arial" w:cs="Arial"/>
          <w:sz w:val="28"/>
          <w:szCs w:val="28"/>
          <w:u w:val="single"/>
        </w:rPr>
      </w:pPr>
      <w:r w:rsidRPr="00071754">
        <w:rPr>
          <w:rFonts w:ascii="Arial" w:hAnsi="Arial" w:cs="Arial"/>
          <w:sz w:val="28"/>
          <w:szCs w:val="28"/>
          <w:u w:val="single"/>
          <w:lang w:val="en-US"/>
        </w:rPr>
        <w:t xml:space="preserve">Te-Li Chen, Yu-Jang Su, Spontaneous Rupture of Renal Pelvis, International Journal of Gerontology, Volume 1, Issue 3, 2007, Pages 131-133, </w:t>
      </w:r>
      <w:hyperlink r:id="rId8" w:history="1">
        <w:r w:rsidRPr="00071754">
          <w:rPr>
            <w:rStyle w:val="Hyperlink"/>
            <w:rFonts w:ascii="Arial" w:hAnsi="Arial" w:cs="Arial"/>
            <w:sz w:val="28"/>
            <w:szCs w:val="28"/>
            <w:lang w:val="en-US"/>
          </w:rPr>
          <w:t>https://doi.org/10.1016/S1873-</w:t>
        </w:r>
      </w:hyperlink>
      <w:r w:rsidRPr="00071754">
        <w:rPr>
          <w:rFonts w:ascii="Arial" w:hAnsi="Arial" w:cs="Arial"/>
          <w:sz w:val="28"/>
          <w:szCs w:val="28"/>
          <w:u w:val="single"/>
          <w:lang w:val="en-US"/>
        </w:rPr>
        <w:t xml:space="preserve"> </w:t>
      </w:r>
      <w:hyperlink r:id="rId9" w:history="1">
        <w:r w:rsidRPr="00071754">
          <w:rPr>
            <w:rStyle w:val="Hyperlink"/>
            <w:rFonts w:ascii="Arial" w:hAnsi="Arial" w:cs="Arial"/>
            <w:sz w:val="28"/>
            <w:szCs w:val="28"/>
            <w:lang w:val="en-US"/>
          </w:rPr>
          <w:t>9598(08)70034</w:t>
        </w:r>
      </w:hyperlink>
      <w:r w:rsidRPr="00071754">
        <w:rPr>
          <w:rFonts w:ascii="Arial" w:hAnsi="Arial" w:cs="Arial"/>
          <w:sz w:val="28"/>
          <w:szCs w:val="28"/>
          <w:u w:val="single"/>
          <w:lang w:val="en-US"/>
        </w:rPr>
        <w:t>.</w:t>
      </w:r>
    </w:p>
    <w:p w14:paraId="7E20DE9F" w14:textId="77777777" w:rsidR="00071754" w:rsidRPr="00071754" w:rsidRDefault="00071754" w:rsidP="00071754">
      <w:pPr>
        <w:numPr>
          <w:ilvl w:val="0"/>
          <w:numId w:val="1"/>
        </w:numPr>
        <w:rPr>
          <w:rFonts w:ascii="Arial" w:hAnsi="Arial" w:cs="Arial"/>
          <w:sz w:val="28"/>
          <w:szCs w:val="28"/>
          <w:u w:val="single"/>
        </w:rPr>
      </w:pPr>
      <w:r w:rsidRPr="00071754">
        <w:rPr>
          <w:rFonts w:ascii="Arial" w:hAnsi="Arial" w:cs="Arial"/>
          <w:sz w:val="28"/>
          <w:szCs w:val="28"/>
          <w:u w:val="single"/>
        </w:rPr>
        <w:t xml:space="preserve">Tuncay Tas, Basri Cakıroglu, Süleyman Hilmi Aksoy, "Spontaneous Renal Pelvis Rupture: Unexpected Complication of Urolithiasis Expected to Passage with Observation Therapy" , Case Reports in Urology, vol. 2013, Article ID 932529, 3 pages, 2013. </w:t>
      </w:r>
      <w:hyperlink r:id="rId10" w:history="1">
        <w:r w:rsidRPr="00071754">
          <w:rPr>
            <w:rStyle w:val="Hyperlink"/>
            <w:rFonts w:ascii="Arial" w:hAnsi="Arial" w:cs="Arial"/>
            <w:sz w:val="28"/>
            <w:szCs w:val="28"/>
          </w:rPr>
          <w:t>https://doi.org/10.1155/2013/932529</w:t>
        </w:r>
      </w:hyperlink>
      <w:r w:rsidRPr="00071754">
        <w:rPr>
          <w:rFonts w:ascii="Arial" w:hAnsi="Arial" w:cs="Arial"/>
          <w:sz w:val="28"/>
          <w:szCs w:val="28"/>
          <w:u w:val="single"/>
        </w:rPr>
        <w:t>.</w:t>
      </w:r>
    </w:p>
    <w:p w14:paraId="2A9BADFF" w14:textId="77777777" w:rsidR="00071754" w:rsidRPr="00071754" w:rsidRDefault="00071754" w:rsidP="00071754">
      <w:pPr>
        <w:rPr>
          <w:rFonts w:ascii="Arial" w:hAnsi="Arial" w:cs="Arial"/>
          <w:b/>
          <w:bCs/>
          <w:sz w:val="28"/>
          <w:szCs w:val="28"/>
          <w:u w:val="single"/>
        </w:rPr>
      </w:pPr>
    </w:p>
    <w:p w14:paraId="7A51B8F4" w14:textId="77777777" w:rsidR="00071754" w:rsidRPr="00071754" w:rsidRDefault="00071754" w:rsidP="00071754">
      <w:pPr>
        <w:rPr>
          <w:rFonts w:ascii="Arial" w:hAnsi="Arial" w:cs="Arial"/>
          <w:sz w:val="28"/>
          <w:szCs w:val="28"/>
        </w:rPr>
      </w:pPr>
    </w:p>
    <w:p w14:paraId="031DE19C" w14:textId="7AAF09E2" w:rsidR="00071754" w:rsidRPr="00071754" w:rsidRDefault="00071754" w:rsidP="00071754">
      <w:pPr>
        <w:rPr>
          <w:rFonts w:ascii="Arial" w:hAnsi="Arial" w:cs="Arial"/>
          <w:sz w:val="28"/>
          <w:szCs w:val="28"/>
        </w:rPr>
      </w:pPr>
    </w:p>
    <w:p w14:paraId="7FC915B5" w14:textId="77777777" w:rsidR="00F04648" w:rsidRPr="00071754" w:rsidRDefault="00F04648">
      <w:pPr>
        <w:rPr>
          <w:rFonts w:ascii="Arial" w:hAnsi="Arial" w:cs="Arial"/>
          <w:sz w:val="28"/>
          <w:szCs w:val="28"/>
        </w:rPr>
      </w:pPr>
    </w:p>
    <w:p w14:paraId="29757736" w14:textId="77777777" w:rsidR="00071754" w:rsidRPr="00071754" w:rsidRDefault="00071754">
      <w:pPr>
        <w:rPr>
          <w:rFonts w:ascii="Arial" w:hAnsi="Arial" w:cs="Arial"/>
          <w:sz w:val="28"/>
          <w:szCs w:val="28"/>
        </w:rPr>
      </w:pPr>
    </w:p>
    <w:sectPr w:rsidR="00071754" w:rsidRPr="000717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8131C2"/>
    <w:multiLevelType w:val="hybridMultilevel"/>
    <w:tmpl w:val="47EA6544"/>
    <w:lvl w:ilvl="0" w:tplc="7E480E40">
      <w:start w:val="1"/>
      <w:numFmt w:val="decimal"/>
      <w:lvlText w:val="%1."/>
      <w:lvlJc w:val="left"/>
      <w:pPr>
        <w:tabs>
          <w:tab w:val="num" w:pos="720"/>
        </w:tabs>
        <w:ind w:left="720" w:hanging="360"/>
      </w:pPr>
    </w:lvl>
    <w:lvl w:ilvl="1" w:tplc="FF2CFC54" w:tentative="1">
      <w:start w:val="1"/>
      <w:numFmt w:val="decimal"/>
      <w:lvlText w:val="%2."/>
      <w:lvlJc w:val="left"/>
      <w:pPr>
        <w:tabs>
          <w:tab w:val="num" w:pos="1440"/>
        </w:tabs>
        <w:ind w:left="1440" w:hanging="360"/>
      </w:pPr>
    </w:lvl>
    <w:lvl w:ilvl="2" w:tplc="B58890CC" w:tentative="1">
      <w:start w:val="1"/>
      <w:numFmt w:val="decimal"/>
      <w:lvlText w:val="%3."/>
      <w:lvlJc w:val="left"/>
      <w:pPr>
        <w:tabs>
          <w:tab w:val="num" w:pos="2160"/>
        </w:tabs>
        <w:ind w:left="2160" w:hanging="360"/>
      </w:pPr>
    </w:lvl>
    <w:lvl w:ilvl="3" w:tplc="450E9E28" w:tentative="1">
      <w:start w:val="1"/>
      <w:numFmt w:val="decimal"/>
      <w:lvlText w:val="%4."/>
      <w:lvlJc w:val="left"/>
      <w:pPr>
        <w:tabs>
          <w:tab w:val="num" w:pos="2880"/>
        </w:tabs>
        <w:ind w:left="2880" w:hanging="360"/>
      </w:pPr>
    </w:lvl>
    <w:lvl w:ilvl="4" w:tplc="CB02C2AE" w:tentative="1">
      <w:start w:val="1"/>
      <w:numFmt w:val="decimal"/>
      <w:lvlText w:val="%5."/>
      <w:lvlJc w:val="left"/>
      <w:pPr>
        <w:tabs>
          <w:tab w:val="num" w:pos="3600"/>
        </w:tabs>
        <w:ind w:left="3600" w:hanging="360"/>
      </w:pPr>
    </w:lvl>
    <w:lvl w:ilvl="5" w:tplc="47BE909A" w:tentative="1">
      <w:start w:val="1"/>
      <w:numFmt w:val="decimal"/>
      <w:lvlText w:val="%6."/>
      <w:lvlJc w:val="left"/>
      <w:pPr>
        <w:tabs>
          <w:tab w:val="num" w:pos="4320"/>
        </w:tabs>
        <w:ind w:left="4320" w:hanging="360"/>
      </w:pPr>
    </w:lvl>
    <w:lvl w:ilvl="6" w:tplc="DDFA7434" w:tentative="1">
      <w:start w:val="1"/>
      <w:numFmt w:val="decimal"/>
      <w:lvlText w:val="%7."/>
      <w:lvlJc w:val="left"/>
      <w:pPr>
        <w:tabs>
          <w:tab w:val="num" w:pos="5040"/>
        </w:tabs>
        <w:ind w:left="5040" w:hanging="360"/>
      </w:pPr>
    </w:lvl>
    <w:lvl w:ilvl="7" w:tplc="7ABE3682" w:tentative="1">
      <w:start w:val="1"/>
      <w:numFmt w:val="decimal"/>
      <w:lvlText w:val="%8."/>
      <w:lvlJc w:val="left"/>
      <w:pPr>
        <w:tabs>
          <w:tab w:val="num" w:pos="5760"/>
        </w:tabs>
        <w:ind w:left="5760" w:hanging="360"/>
      </w:pPr>
    </w:lvl>
    <w:lvl w:ilvl="8" w:tplc="6D0AB5CA" w:tentative="1">
      <w:start w:val="1"/>
      <w:numFmt w:val="decimal"/>
      <w:lvlText w:val="%9."/>
      <w:lvlJc w:val="left"/>
      <w:pPr>
        <w:tabs>
          <w:tab w:val="num" w:pos="6480"/>
        </w:tabs>
        <w:ind w:left="6480" w:hanging="360"/>
      </w:pPr>
    </w:lvl>
  </w:abstractNum>
  <w:num w:numId="1" w16cid:durableId="1309171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754"/>
    <w:rsid w:val="00071754"/>
    <w:rsid w:val="000E1A6F"/>
    <w:rsid w:val="00231C2E"/>
    <w:rsid w:val="00F046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A24B9"/>
  <w15:chartTrackingRefBased/>
  <w15:docId w15:val="{AED5FAB2-BD21-4D2A-9464-2FEC5201B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17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71754"/>
    <w:rPr>
      <w:color w:val="0563C1" w:themeColor="hyperlink"/>
      <w:u w:val="single"/>
    </w:rPr>
  </w:style>
  <w:style w:type="character" w:styleId="UnresolvedMention">
    <w:name w:val="Unresolved Mention"/>
    <w:basedOn w:val="DefaultParagraphFont"/>
    <w:uiPriority w:val="99"/>
    <w:semiHidden/>
    <w:unhideWhenUsed/>
    <w:rsid w:val="000717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89348">
      <w:bodyDiv w:val="1"/>
      <w:marLeft w:val="0"/>
      <w:marRight w:val="0"/>
      <w:marTop w:val="0"/>
      <w:marBottom w:val="0"/>
      <w:divBdr>
        <w:top w:val="none" w:sz="0" w:space="0" w:color="auto"/>
        <w:left w:val="none" w:sz="0" w:space="0" w:color="auto"/>
        <w:bottom w:val="none" w:sz="0" w:space="0" w:color="auto"/>
        <w:right w:val="none" w:sz="0" w:space="0" w:color="auto"/>
      </w:divBdr>
    </w:div>
    <w:div w:id="340663628">
      <w:bodyDiv w:val="1"/>
      <w:marLeft w:val="0"/>
      <w:marRight w:val="0"/>
      <w:marTop w:val="0"/>
      <w:marBottom w:val="0"/>
      <w:divBdr>
        <w:top w:val="none" w:sz="0" w:space="0" w:color="auto"/>
        <w:left w:val="none" w:sz="0" w:space="0" w:color="auto"/>
        <w:bottom w:val="none" w:sz="0" w:space="0" w:color="auto"/>
        <w:right w:val="none" w:sz="0" w:space="0" w:color="auto"/>
      </w:divBdr>
      <w:divsChild>
        <w:div w:id="1039670624">
          <w:marLeft w:val="0"/>
          <w:marRight w:val="0"/>
          <w:marTop w:val="200"/>
          <w:marBottom w:val="0"/>
          <w:divBdr>
            <w:top w:val="none" w:sz="0" w:space="0" w:color="auto"/>
            <w:left w:val="none" w:sz="0" w:space="0" w:color="auto"/>
            <w:bottom w:val="none" w:sz="0" w:space="0" w:color="auto"/>
            <w:right w:val="none" w:sz="0" w:space="0" w:color="auto"/>
          </w:divBdr>
        </w:div>
        <w:div w:id="1294100305">
          <w:marLeft w:val="0"/>
          <w:marRight w:val="0"/>
          <w:marTop w:val="200"/>
          <w:marBottom w:val="0"/>
          <w:divBdr>
            <w:top w:val="none" w:sz="0" w:space="0" w:color="auto"/>
            <w:left w:val="none" w:sz="0" w:space="0" w:color="auto"/>
            <w:bottom w:val="none" w:sz="0" w:space="0" w:color="auto"/>
            <w:right w:val="none" w:sz="0" w:space="0" w:color="auto"/>
          </w:divBdr>
        </w:div>
        <w:div w:id="1995988315">
          <w:marLeft w:val="0"/>
          <w:marRight w:val="0"/>
          <w:marTop w:val="200"/>
          <w:marBottom w:val="0"/>
          <w:divBdr>
            <w:top w:val="none" w:sz="0" w:space="0" w:color="auto"/>
            <w:left w:val="none" w:sz="0" w:space="0" w:color="auto"/>
            <w:bottom w:val="none" w:sz="0" w:space="0" w:color="auto"/>
            <w:right w:val="none" w:sz="0" w:space="0" w:color="auto"/>
          </w:divBdr>
        </w:div>
      </w:divsChild>
    </w:div>
    <w:div w:id="987325675">
      <w:bodyDiv w:val="1"/>
      <w:marLeft w:val="0"/>
      <w:marRight w:val="0"/>
      <w:marTop w:val="0"/>
      <w:marBottom w:val="0"/>
      <w:divBdr>
        <w:top w:val="none" w:sz="0" w:space="0" w:color="auto"/>
        <w:left w:val="none" w:sz="0" w:space="0" w:color="auto"/>
        <w:bottom w:val="none" w:sz="0" w:space="0" w:color="auto"/>
        <w:right w:val="none" w:sz="0" w:space="0" w:color="auto"/>
      </w:divBdr>
    </w:div>
    <w:div w:id="1646272361">
      <w:bodyDiv w:val="1"/>
      <w:marLeft w:val="0"/>
      <w:marRight w:val="0"/>
      <w:marTop w:val="0"/>
      <w:marBottom w:val="0"/>
      <w:divBdr>
        <w:top w:val="none" w:sz="0" w:space="0" w:color="auto"/>
        <w:left w:val="none" w:sz="0" w:space="0" w:color="auto"/>
        <w:bottom w:val="none" w:sz="0" w:space="0" w:color="auto"/>
        <w:right w:val="none" w:sz="0" w:space="0" w:color="auto"/>
      </w:divBdr>
    </w:div>
    <w:div w:id="1659920009">
      <w:bodyDiv w:val="1"/>
      <w:marLeft w:val="0"/>
      <w:marRight w:val="0"/>
      <w:marTop w:val="0"/>
      <w:marBottom w:val="0"/>
      <w:divBdr>
        <w:top w:val="none" w:sz="0" w:space="0" w:color="auto"/>
        <w:left w:val="none" w:sz="0" w:space="0" w:color="auto"/>
        <w:bottom w:val="none" w:sz="0" w:space="0" w:color="auto"/>
        <w:right w:val="none" w:sz="0" w:space="0" w:color="auto"/>
      </w:divBdr>
    </w:div>
    <w:div w:id="211278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S1873-9598(08)70034"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doi.org/10.1155/2013/932529" TargetMode="External"/><Relationship Id="rId4" Type="http://schemas.openxmlformats.org/officeDocument/2006/relationships/webSettings" Target="webSettings.xml"/><Relationship Id="rId9" Type="http://schemas.openxmlformats.org/officeDocument/2006/relationships/hyperlink" Target="https://doi.org/10.1016/S1873-9598(08)700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Bal Jaskaran (Doctor) (RW6) PAHNT</dc:creator>
  <cp:keywords/>
  <dc:description/>
  <cp:lastModifiedBy>Singh Bal Jaskaran (Doctor) (RW6) PAHNT</cp:lastModifiedBy>
  <cp:revision>3</cp:revision>
  <dcterms:created xsi:type="dcterms:W3CDTF">2022-10-05T15:57:00Z</dcterms:created>
  <dcterms:modified xsi:type="dcterms:W3CDTF">2022-10-05T16:13:00Z</dcterms:modified>
</cp:coreProperties>
</file>