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5B291" w14:textId="181CD387" w:rsidR="00C44B3B" w:rsidRDefault="00C44B3B" w:rsidP="00C44B3B">
      <w:r>
        <w:rPr>
          <w:noProof/>
        </w:rPr>
        <w:drawing>
          <wp:inline distT="0" distB="0" distL="0" distR="0" wp14:anchorId="15580933" wp14:editId="77B1DDEE">
            <wp:extent cx="3886200" cy="5829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1400" cy="585210"/>
                    </a:xfrm>
                    <a:prstGeom prst="rect">
                      <a:avLst/>
                    </a:prstGeom>
                    <a:noFill/>
                  </pic:spPr>
                </pic:pic>
              </a:graphicData>
            </a:graphic>
          </wp:inline>
        </w:drawing>
      </w:r>
      <w:r w:rsidRPr="00C44B3B">
        <w:rPr>
          <w:noProof/>
        </w:rPr>
        <w:t xml:space="preserve"> </w:t>
      </w:r>
      <w:r>
        <w:rPr>
          <w:noProof/>
        </w:rPr>
        <w:drawing>
          <wp:inline distT="0" distB="0" distL="0" distR="0" wp14:anchorId="2A414B3F" wp14:editId="22FA69A5">
            <wp:extent cx="1667286" cy="624205"/>
            <wp:effectExtent l="0" t="0" r="9525" b="4445"/>
            <wp:docPr id="1" name="Picture 1" descr="Home | Guy's and St Thoma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uy's and St Thomas' NHS Foundation Trus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179" t="23653" r="14794" b="26412"/>
                    <a:stretch/>
                  </pic:blipFill>
                  <pic:spPr bwMode="auto">
                    <a:xfrm>
                      <a:off x="0" y="0"/>
                      <a:ext cx="1719751" cy="643847"/>
                    </a:xfrm>
                    <a:prstGeom prst="rect">
                      <a:avLst/>
                    </a:prstGeom>
                    <a:noFill/>
                    <a:ln>
                      <a:noFill/>
                    </a:ln>
                    <a:extLst>
                      <a:ext uri="{53640926-AAD7-44D8-BBD7-CCE9431645EC}">
                        <a14:shadowObscured xmlns:a14="http://schemas.microsoft.com/office/drawing/2010/main"/>
                      </a:ext>
                    </a:extLst>
                  </pic:spPr>
                </pic:pic>
              </a:graphicData>
            </a:graphic>
          </wp:inline>
        </w:drawing>
      </w:r>
    </w:p>
    <w:p w14:paraId="3B8B0D79" w14:textId="6E61BFBD" w:rsidR="00C44B3B" w:rsidRDefault="00C44B3B" w:rsidP="00C44B3B">
      <w:proofErr w:type="spellStart"/>
      <w:r>
        <w:t>Cureus</w:t>
      </w:r>
      <w:proofErr w:type="spellEnd"/>
      <w:r>
        <w:t xml:space="preserve"> 14(9): e28794. doi:10.7759/cureus.28794 (September 2022)</w:t>
      </w:r>
    </w:p>
    <w:p w14:paraId="6AA60F2E" w14:textId="131B2158" w:rsidR="003E0765" w:rsidRDefault="00C44B3B" w:rsidP="00C44B3B">
      <w:r>
        <w:t>9th International Conference on Surgery and Anesthesia, Nov 21-22</w:t>
      </w:r>
      <w:r w:rsidR="00B549B3">
        <w:t xml:space="preserve"> 2022</w:t>
      </w:r>
      <w:r>
        <w:t>, London</w:t>
      </w:r>
      <w:r w:rsidR="00B549B3">
        <w:t xml:space="preserve"> UK</w:t>
      </w:r>
    </w:p>
    <w:p w14:paraId="2D20FD00" w14:textId="77777777" w:rsidR="00C44B3B" w:rsidRDefault="00C44B3B" w:rsidP="00C44B3B"/>
    <w:p w14:paraId="1FEFF4BA" w14:textId="594A8C94" w:rsidR="009F6850" w:rsidRPr="0005448F" w:rsidRDefault="009F6850">
      <w:pPr>
        <w:rPr>
          <w:b/>
          <w:bCs/>
          <w:u w:val="single"/>
        </w:rPr>
      </w:pPr>
      <w:r w:rsidRPr="0005448F">
        <w:rPr>
          <w:b/>
          <w:bCs/>
          <w:u w:val="single"/>
        </w:rPr>
        <w:t>Identifying Recurrence Risk Factors in CT-Confirmed Acute Appendicitis in Adults Managed Non-</w:t>
      </w:r>
      <w:proofErr w:type="gramStart"/>
      <w:r w:rsidRPr="0005448F">
        <w:rPr>
          <w:b/>
          <w:bCs/>
          <w:u w:val="single"/>
        </w:rPr>
        <w:t>operatively</w:t>
      </w:r>
      <w:proofErr w:type="gramEnd"/>
      <w:r w:rsidRPr="0005448F">
        <w:rPr>
          <w:b/>
          <w:bCs/>
          <w:u w:val="single"/>
        </w:rPr>
        <w:t xml:space="preserve"> During the COVID-19 Pandemic.</w:t>
      </w:r>
    </w:p>
    <w:p w14:paraId="1BFFEF4C" w14:textId="7207C8A8" w:rsidR="009F6850" w:rsidRDefault="009F6850">
      <w:r>
        <w:t xml:space="preserve">Chris B </w:t>
      </w:r>
      <w:r w:rsidRPr="009F6850">
        <w:t>Richards,</w:t>
      </w:r>
      <w:r>
        <w:t xml:space="preserve"> Laura K</w:t>
      </w:r>
      <w:r w:rsidRPr="009F6850">
        <w:t xml:space="preserve"> </w:t>
      </w:r>
      <w:proofErr w:type="spellStart"/>
      <w:r w:rsidRPr="009F6850">
        <w:t>Pendower</w:t>
      </w:r>
      <w:proofErr w:type="spellEnd"/>
      <w:r w:rsidRPr="009F6850">
        <w:t>,</w:t>
      </w:r>
      <w:r>
        <w:t xml:space="preserve"> Pinky D</w:t>
      </w:r>
      <w:r w:rsidRPr="009F6850">
        <w:t xml:space="preserve"> Kotecha</w:t>
      </w:r>
      <w:r>
        <w:t>, Karl</w:t>
      </w:r>
      <w:r>
        <w:t xml:space="preserve"> </w:t>
      </w:r>
      <w:proofErr w:type="spellStart"/>
      <w:r>
        <w:t>Elmqvist</w:t>
      </w:r>
      <w:proofErr w:type="spellEnd"/>
      <w:r>
        <w:t>,</w:t>
      </w:r>
      <w:r>
        <w:t xml:space="preserve"> </w:t>
      </w:r>
      <w:proofErr w:type="spellStart"/>
      <w:r>
        <w:t>Fungayi</w:t>
      </w:r>
      <w:proofErr w:type="spellEnd"/>
      <w:r>
        <w:t xml:space="preserve"> N</w:t>
      </w:r>
      <w:r>
        <w:t xml:space="preserve"> Chinaka,</w:t>
      </w:r>
      <w:r>
        <w:t xml:space="preserve"> Ivan</w:t>
      </w:r>
      <w:r>
        <w:t xml:space="preserve"> </w:t>
      </w:r>
      <w:proofErr w:type="spellStart"/>
      <w:r>
        <w:t>Tomasi</w:t>
      </w:r>
      <w:proofErr w:type="spellEnd"/>
      <w:r>
        <w:t xml:space="preserve"> </w:t>
      </w:r>
    </w:p>
    <w:p w14:paraId="2FA9BFA8" w14:textId="459E5C72" w:rsidR="0005448F" w:rsidRPr="0005448F" w:rsidRDefault="0005448F">
      <w:pPr>
        <w:rPr>
          <w:i/>
          <w:iCs/>
        </w:rPr>
      </w:pPr>
      <w:r w:rsidRPr="0005448F">
        <w:rPr>
          <w:i/>
          <w:iCs/>
        </w:rPr>
        <w:t>Guy’s and St Thomas’ NHS Foundation Trust, London</w:t>
      </w:r>
    </w:p>
    <w:p w14:paraId="674D5495" w14:textId="1CB2C9CC" w:rsidR="0005448F" w:rsidRDefault="0005448F"/>
    <w:p w14:paraId="11F45FA5" w14:textId="65833B92" w:rsidR="0005448F" w:rsidRPr="003F6E03" w:rsidRDefault="003F6E03">
      <w:pPr>
        <w:rPr>
          <w:b/>
          <w:bCs/>
          <w:u w:val="single"/>
        </w:rPr>
      </w:pPr>
      <w:r w:rsidRPr="003F6E03">
        <w:rPr>
          <w:b/>
          <w:bCs/>
          <w:u w:val="single"/>
        </w:rPr>
        <w:t>Abstract</w:t>
      </w:r>
    </w:p>
    <w:p w14:paraId="1B35B787" w14:textId="4D75E4F5" w:rsidR="003F6E03" w:rsidRPr="003F6E03" w:rsidRDefault="003F6E03" w:rsidP="003F6E03">
      <w:pPr>
        <w:rPr>
          <w:u w:val="single"/>
        </w:rPr>
      </w:pPr>
      <w:r w:rsidRPr="003F6E03">
        <w:rPr>
          <w:u w:val="single"/>
        </w:rPr>
        <w:t>Background/Objective</w:t>
      </w:r>
    </w:p>
    <w:p w14:paraId="67EC6266" w14:textId="2EAA11B4" w:rsidR="003F6E03" w:rsidRDefault="003F6E03" w:rsidP="003F6E03">
      <w:r>
        <w:t xml:space="preserve">Acute appendicitis is predominantly managed with appendectomy, but can be treated non-operatively, leading to recurrence risk.  Non-operative management has been more common since the COVID-19 pandemic affected the feasibility of performing surgery. This case-control study analyzed non-operatively managed patients in order to identify clinical and radiological factors associated with recurrence risk.  </w:t>
      </w:r>
    </w:p>
    <w:p w14:paraId="7287DD43" w14:textId="77777777" w:rsidR="003F6E03" w:rsidRDefault="003F6E03" w:rsidP="003F6E03"/>
    <w:p w14:paraId="778A9E96" w14:textId="38264176" w:rsidR="003F6E03" w:rsidRPr="003F6E03" w:rsidRDefault="003F6E03" w:rsidP="003F6E03">
      <w:pPr>
        <w:rPr>
          <w:u w:val="single"/>
        </w:rPr>
      </w:pPr>
      <w:r w:rsidRPr="003F6E03">
        <w:rPr>
          <w:u w:val="single"/>
        </w:rPr>
        <w:t>Methods</w:t>
      </w:r>
    </w:p>
    <w:p w14:paraId="33A0BAAD" w14:textId="77777777" w:rsidR="003F6E03" w:rsidRDefault="003F6E03" w:rsidP="003F6E03">
      <w:r>
        <w:t xml:space="preserve">Over 12 months, 48 adults with CT-proven acute appendicitis managed non-operatively were identified, and followed up for at least six further months to assess them for recurrence (reattendance to hospital more than 14 days after discharge and after symptom resolution, requiring treatment for appendicitis). Clinical and CT data </w:t>
      </w:r>
      <w:proofErr w:type="gramStart"/>
      <w:r>
        <w:t>were</w:t>
      </w:r>
      <w:proofErr w:type="gramEnd"/>
      <w:r>
        <w:t xml:space="preserve"> collected and a Cox regression survival analysis was performed to produce hazards ratios.</w:t>
      </w:r>
    </w:p>
    <w:p w14:paraId="4F9348BD" w14:textId="10C6BF2C" w:rsidR="003F6E03" w:rsidRDefault="003F6E03" w:rsidP="003F6E03">
      <w:r>
        <w:t xml:space="preserve"> </w:t>
      </w:r>
    </w:p>
    <w:p w14:paraId="03B64C32" w14:textId="4D45FB4E" w:rsidR="003F6E03" w:rsidRPr="003F6E03" w:rsidRDefault="003F6E03" w:rsidP="003F6E03">
      <w:pPr>
        <w:rPr>
          <w:u w:val="single"/>
        </w:rPr>
      </w:pPr>
      <w:r w:rsidRPr="003F6E03">
        <w:rPr>
          <w:u w:val="single"/>
        </w:rPr>
        <w:t>Results</w:t>
      </w:r>
    </w:p>
    <w:p w14:paraId="0395C028" w14:textId="77777777" w:rsidR="003F6E03" w:rsidRDefault="003F6E03" w:rsidP="003F6E03">
      <w:r>
        <w:t xml:space="preserve">Of the 48 patients, 12 (25%) experienced a recurrence up until the end of the follow-up period, eight of whom were then treated operatively. </w:t>
      </w:r>
    </w:p>
    <w:p w14:paraId="525A356C" w14:textId="06DCC5FB" w:rsidR="003F6E03" w:rsidRDefault="003F6E03" w:rsidP="003F6E03">
      <w:r>
        <w:t>On the univariate analysis, greater recurrence risk was observed in patients with diabetes mellitus, higher pulse rate (on admission and maximum value during admission), lower white cell count and neutrophils and appendiceal wall thinning on CT.  On the multivariate analysis, diabetes mellitus (hazards ratio=7.72, p=0.021) and higher pulse rate (hazards ratio=1.08, p=0.018) were associated with statistically significant greater recurrence risk.</w:t>
      </w:r>
    </w:p>
    <w:p w14:paraId="5EA3EBD9" w14:textId="77777777" w:rsidR="003F6E03" w:rsidRDefault="003F6E03" w:rsidP="003F6E03"/>
    <w:p w14:paraId="6A68ABA4" w14:textId="77777777" w:rsidR="003F6E03" w:rsidRPr="003F6E03" w:rsidRDefault="003F6E03" w:rsidP="003F6E03">
      <w:pPr>
        <w:rPr>
          <w:u w:val="single"/>
        </w:rPr>
      </w:pPr>
      <w:r w:rsidRPr="003F6E03">
        <w:rPr>
          <w:u w:val="single"/>
        </w:rPr>
        <w:t>Conclusions</w:t>
      </w:r>
    </w:p>
    <w:p w14:paraId="6D785DAE" w14:textId="7169E756" w:rsidR="003F6E03" w:rsidRDefault="003F6E03" w:rsidP="003F6E03">
      <w:r>
        <w:lastRenderedPageBreak/>
        <w:t>Diabetes mellitus and higher pulse rate on admission are associated with greater recurrence risk of acute appendicitis managed non-operatively. No CT findings were associated with significantly greater risk. Clinicians should therefore consider diabetes mellitus and pulse rate when making decisions on appendicitis management, during the COVID-19 pandemic and beyond.</w:t>
      </w:r>
    </w:p>
    <w:p w14:paraId="10E3ACB5" w14:textId="519BD07A" w:rsidR="003F6E03" w:rsidRDefault="003F6E03"/>
    <w:p w14:paraId="6199C0B2" w14:textId="18580C0D" w:rsidR="003F6E03" w:rsidRPr="003F6E03" w:rsidRDefault="003F6E03">
      <w:pPr>
        <w:rPr>
          <w:b/>
          <w:bCs/>
          <w:u w:val="single"/>
        </w:rPr>
      </w:pPr>
      <w:r w:rsidRPr="003F6E03">
        <w:rPr>
          <w:b/>
          <w:bCs/>
          <w:u w:val="single"/>
        </w:rPr>
        <w:t>Biography</w:t>
      </w:r>
    </w:p>
    <w:p w14:paraId="04D30533" w14:textId="570F392E" w:rsidR="003F6E03" w:rsidRDefault="00E513E8" w:rsidP="003F6E03">
      <w:r>
        <w:t xml:space="preserve">Dr </w:t>
      </w:r>
      <w:r w:rsidR="003F6E03">
        <w:t>Chris</w:t>
      </w:r>
      <w:r>
        <w:t xml:space="preserve"> B</w:t>
      </w:r>
      <w:r w:rsidR="003F6E03">
        <w:t xml:space="preserve"> Richards completed his MBChB at The University of Sheffield in 2018 and a BSc (Hons) in Imaging Sciences at King’s College London in 2016. He has undertaken Clinical Fellowships in Renal and Transplant Surgery and General and Colorectal Surgery at</w:t>
      </w:r>
      <w:r>
        <w:t xml:space="preserve"> Guy’s and</w:t>
      </w:r>
      <w:r w:rsidR="003F6E03">
        <w:t xml:space="preserve"> St Thomas’ </w:t>
      </w:r>
      <w:r>
        <w:t>NHS Foundation Trust</w:t>
      </w:r>
      <w:r w:rsidR="003F6E03">
        <w:t>.</w:t>
      </w:r>
      <w:r>
        <w:t xml:space="preserve"> </w:t>
      </w:r>
      <w:r w:rsidR="003F6E03">
        <w:t>He has an interest in quality improvement and teaching and has designed several teaching programs. He has four publications</w:t>
      </w:r>
      <w:r>
        <w:t xml:space="preserve">. </w:t>
      </w:r>
      <w:r w:rsidR="003F6E03">
        <w:t>He is currently undertaking Core Surgical Training in Manchester, with a focus on Urology.</w:t>
      </w:r>
    </w:p>
    <w:p w14:paraId="306EFDEC" w14:textId="1B2A38B1" w:rsidR="00E513E8" w:rsidRDefault="00E513E8" w:rsidP="003F6E03">
      <w:proofErr w:type="spellStart"/>
      <w:r>
        <w:t>Mr</w:t>
      </w:r>
      <w:proofErr w:type="spellEnd"/>
      <w:r>
        <w:t xml:space="preserve"> Ivan </w:t>
      </w:r>
      <w:proofErr w:type="spellStart"/>
      <w:r>
        <w:t>Tomasi</w:t>
      </w:r>
      <w:proofErr w:type="spellEnd"/>
      <w:r>
        <w:t xml:space="preserve"> is a Consultant Emergency General Surgeon at Guy’s and St Thomas’ NHS Foundation Trust.</w:t>
      </w:r>
      <w:r w:rsidR="0025601B">
        <w:t xml:space="preserve"> </w:t>
      </w:r>
      <w:r w:rsidR="0025601B">
        <w:t xml:space="preserve">Dr Laura </w:t>
      </w:r>
      <w:proofErr w:type="spellStart"/>
      <w:r w:rsidR="0025601B">
        <w:t>Pendower</w:t>
      </w:r>
      <w:proofErr w:type="spellEnd"/>
      <w:r w:rsidR="0025601B">
        <w:t xml:space="preserve"> and Dr </w:t>
      </w:r>
      <w:proofErr w:type="spellStart"/>
      <w:r w:rsidR="0025601B">
        <w:t>Fungayi</w:t>
      </w:r>
      <w:proofErr w:type="spellEnd"/>
      <w:r w:rsidR="0025601B">
        <w:t xml:space="preserve"> Chinaka are radiology registrar and consultant respectively. </w:t>
      </w:r>
      <w:r w:rsidR="0025601B">
        <w:t xml:space="preserve"> Dr Pinky Kotecha and Dr Karl </w:t>
      </w:r>
      <w:proofErr w:type="spellStart"/>
      <w:r w:rsidR="0025601B">
        <w:t>Elmqvist</w:t>
      </w:r>
      <w:proofErr w:type="spellEnd"/>
      <w:r w:rsidR="0025601B">
        <w:t xml:space="preserve"> are foundation doctors.</w:t>
      </w:r>
      <w:r>
        <w:t xml:space="preserve"> </w:t>
      </w:r>
    </w:p>
    <w:p w14:paraId="617D394C" w14:textId="1C0C0C4D" w:rsidR="00461B15" w:rsidRDefault="00461B15" w:rsidP="003F6E03"/>
    <w:p w14:paraId="1540AAD6" w14:textId="38EADE3A" w:rsidR="00461B15" w:rsidRDefault="00461B15" w:rsidP="003F6E03">
      <w:pPr>
        <w:rPr>
          <w:b/>
          <w:bCs/>
          <w:u w:val="single"/>
        </w:rPr>
      </w:pPr>
      <w:r w:rsidRPr="00461B15">
        <w:rPr>
          <w:b/>
          <w:bCs/>
          <w:u w:val="single"/>
        </w:rPr>
        <w:t>References</w:t>
      </w:r>
    </w:p>
    <w:p w14:paraId="7A1A7655" w14:textId="7F64E469" w:rsidR="00461B15" w:rsidRPr="00461B15" w:rsidRDefault="00461B15" w:rsidP="00461B15">
      <w:proofErr w:type="spellStart"/>
      <w:r w:rsidRPr="00461B15">
        <w:t>Salminen</w:t>
      </w:r>
      <w:proofErr w:type="spellEnd"/>
      <w:r w:rsidRPr="00461B15">
        <w:t xml:space="preserve"> P, Tuominen R, </w:t>
      </w:r>
      <w:proofErr w:type="spellStart"/>
      <w:r w:rsidRPr="00461B15">
        <w:t>Paajanen</w:t>
      </w:r>
      <w:proofErr w:type="spellEnd"/>
      <w:r w:rsidRPr="00461B15">
        <w:t xml:space="preserve"> H, </w:t>
      </w:r>
      <w:proofErr w:type="spellStart"/>
      <w:r w:rsidRPr="00461B15">
        <w:t>Rautio</w:t>
      </w:r>
      <w:proofErr w:type="spellEnd"/>
      <w:r w:rsidRPr="00461B15">
        <w:t xml:space="preserve"> T, </w:t>
      </w:r>
      <w:proofErr w:type="spellStart"/>
      <w:r w:rsidRPr="00461B15">
        <w:t>Nordström</w:t>
      </w:r>
      <w:proofErr w:type="spellEnd"/>
      <w:r w:rsidRPr="00461B15">
        <w:t xml:space="preserve"> P, </w:t>
      </w:r>
      <w:proofErr w:type="spellStart"/>
      <w:r w:rsidRPr="00461B15">
        <w:t>Aarnio</w:t>
      </w:r>
      <w:proofErr w:type="spellEnd"/>
      <w:r w:rsidRPr="00461B15">
        <w:t xml:space="preserve"> M et al. Five-Year Follow-up of Antibiotic Therapy for Uncomplicated Acute Appendicitis in the APPAC Randomized Clinical Trial. JAMA 2018 Sep 25;320(12):1259–1265.</w:t>
      </w:r>
      <w:r w:rsidR="00F22A9C">
        <w:t xml:space="preserve"> </w:t>
      </w:r>
      <w:hyperlink r:id="rId8" w:history="1">
        <w:r w:rsidR="00F22A9C" w:rsidRPr="00767F56">
          <w:rPr>
            <w:rStyle w:val="Hyperlink"/>
          </w:rPr>
          <w:t>https://www.ncbi.nlm.nih.gov/pmc/articles/PMC6233612/</w:t>
        </w:r>
      </w:hyperlink>
      <w:r w:rsidR="00F22A9C">
        <w:t xml:space="preserve"> </w:t>
      </w:r>
      <w:r w:rsidR="00F22A9C" w:rsidRPr="00F22A9C">
        <w:t>PMID: 30264120</w:t>
      </w:r>
    </w:p>
    <w:p w14:paraId="0615CB82" w14:textId="46832E1F" w:rsidR="00461B15" w:rsidRDefault="00461B15" w:rsidP="00461B15">
      <w:proofErr w:type="spellStart"/>
      <w:r w:rsidRPr="00461B15">
        <w:t>Flum</w:t>
      </w:r>
      <w:proofErr w:type="spellEnd"/>
      <w:r w:rsidRPr="00461B15">
        <w:t xml:space="preserve"> DR, Davidson GH, </w:t>
      </w:r>
      <w:proofErr w:type="spellStart"/>
      <w:r w:rsidRPr="00461B15">
        <w:t>Monsell</w:t>
      </w:r>
      <w:proofErr w:type="spellEnd"/>
      <w:r w:rsidRPr="00461B15">
        <w:t xml:space="preserve"> SE, Shapiro NI, Odom SR, Sanchez SE. A Randomized Trial Comparing Antibiotics with Appendectomy for Appendicitis. N </w:t>
      </w:r>
      <w:proofErr w:type="spellStart"/>
      <w:r w:rsidRPr="00461B15">
        <w:t>Engl</w:t>
      </w:r>
      <w:proofErr w:type="spellEnd"/>
      <w:r w:rsidRPr="00461B15">
        <w:t xml:space="preserve"> J Med </w:t>
      </w:r>
      <w:proofErr w:type="gramStart"/>
      <w:r w:rsidRPr="00461B15">
        <w:t>2020;383:1907</w:t>
      </w:r>
      <w:proofErr w:type="gramEnd"/>
      <w:r w:rsidRPr="00461B15">
        <w:t>-1919</w:t>
      </w:r>
      <w:r>
        <w:t>.</w:t>
      </w:r>
      <w:r w:rsidR="00F22A9C">
        <w:t xml:space="preserve"> </w:t>
      </w:r>
      <w:hyperlink r:id="rId9" w:history="1">
        <w:r w:rsidR="00F22A9C" w:rsidRPr="00767F56">
          <w:rPr>
            <w:rStyle w:val="Hyperlink"/>
          </w:rPr>
          <w:t>https://www.nejm.org/doi/10.1056/NEJMoa2014320</w:t>
        </w:r>
      </w:hyperlink>
      <w:r w:rsidR="00F22A9C">
        <w:t xml:space="preserve"> </w:t>
      </w:r>
    </w:p>
    <w:p w14:paraId="55C1096B" w14:textId="317FF943" w:rsidR="00461B15" w:rsidRDefault="00461B15" w:rsidP="00461B15">
      <w:r>
        <w:t xml:space="preserve">Archer JE, Odeh A, </w:t>
      </w:r>
      <w:proofErr w:type="spellStart"/>
      <w:r>
        <w:t>Ereidge</w:t>
      </w:r>
      <w:proofErr w:type="spellEnd"/>
      <w:r>
        <w:t xml:space="preserve"> S, Salem HK, Jones GP, Gardner A. Mortality and pulmonary complications in patients undergoing surgery with perioperative SARS-CoV-2 infection: an international cohort study. Lancet 2020 Jul 4;396(10243):27–38.</w:t>
      </w:r>
      <w:r w:rsidR="00F22A9C">
        <w:t xml:space="preserve"> </w:t>
      </w:r>
      <w:hyperlink r:id="rId10" w:history="1">
        <w:r w:rsidR="00F22A9C" w:rsidRPr="00767F56">
          <w:rPr>
            <w:rStyle w:val="Hyperlink"/>
          </w:rPr>
          <w:t>https://www.thelancet.com/journals/lancet/article/PIIS0140-6736(20)31182-X/fulltext</w:t>
        </w:r>
      </w:hyperlink>
      <w:r w:rsidR="00F22A9C">
        <w:t xml:space="preserve"> </w:t>
      </w:r>
    </w:p>
    <w:p w14:paraId="6993351F" w14:textId="33E30AAE" w:rsidR="00461B15" w:rsidRDefault="00461B15" w:rsidP="00461B15">
      <w:r>
        <w:t xml:space="preserve">Antunes D, </w:t>
      </w:r>
      <w:proofErr w:type="spellStart"/>
      <w:r>
        <w:t>Lami</w:t>
      </w:r>
      <w:proofErr w:type="spellEnd"/>
      <w:r>
        <w:t xml:space="preserve"> M, </w:t>
      </w:r>
      <w:proofErr w:type="spellStart"/>
      <w:r>
        <w:t>Chukwudi</w:t>
      </w:r>
      <w:proofErr w:type="spellEnd"/>
      <w:r>
        <w:t xml:space="preserve"> A, Dey A, Patel M, Shabana A et al. COVID-19 infection risk by open and laparoscopic surgical smoke: A systematic review of the literature. Surgeon 2021;19(6</w:t>
      </w:r>
      <w:proofErr w:type="gramStart"/>
      <w:r>
        <w:t>):e</w:t>
      </w:r>
      <w:proofErr w:type="gramEnd"/>
      <w:r>
        <w:t>452-e461.</w:t>
      </w:r>
      <w:r w:rsidR="00F22A9C">
        <w:t xml:space="preserve"> </w:t>
      </w:r>
      <w:hyperlink r:id="rId11" w:history="1">
        <w:r w:rsidR="00F22A9C" w:rsidRPr="00767F56">
          <w:rPr>
            <w:rStyle w:val="Hyperlink"/>
          </w:rPr>
          <w:t>https://www.ncbi.nlm.nih.gov/pmc/articles/PMC7927587/</w:t>
        </w:r>
      </w:hyperlink>
      <w:r w:rsidR="00F22A9C">
        <w:t xml:space="preserve"> </w:t>
      </w:r>
      <w:r w:rsidR="00F22A9C" w:rsidRPr="00F22A9C">
        <w:t>PMID: 33757651</w:t>
      </w:r>
    </w:p>
    <w:p w14:paraId="255C1DE1" w14:textId="04EE7021" w:rsidR="00461B15" w:rsidRPr="00461B15" w:rsidRDefault="00461B15" w:rsidP="00461B15">
      <w:proofErr w:type="spellStart"/>
      <w:r>
        <w:t>Javanmard-Emamghissi</w:t>
      </w:r>
      <w:proofErr w:type="spellEnd"/>
      <w:r>
        <w:t xml:space="preserve"> H, </w:t>
      </w:r>
      <w:proofErr w:type="spellStart"/>
      <w:r>
        <w:t>Hollyman</w:t>
      </w:r>
      <w:proofErr w:type="spellEnd"/>
      <w:r>
        <w:t xml:space="preserve"> M, Boyd-Carson H, </w:t>
      </w:r>
      <w:proofErr w:type="spellStart"/>
      <w:r>
        <w:t>Doleman</w:t>
      </w:r>
      <w:proofErr w:type="spellEnd"/>
      <w:r>
        <w:t xml:space="preserve"> B, </w:t>
      </w:r>
      <w:proofErr w:type="spellStart"/>
      <w:r>
        <w:t>Adiamah</w:t>
      </w:r>
      <w:proofErr w:type="spellEnd"/>
      <w:r>
        <w:t xml:space="preserve"> A, Lund JN et al. Antibiotics as first-line alternative to appendicectomy in adult appendicitis: 90-day follow-up from a prospective, </w:t>
      </w:r>
      <w:proofErr w:type="spellStart"/>
      <w:r>
        <w:t>multicentre</w:t>
      </w:r>
      <w:proofErr w:type="spellEnd"/>
      <w:r>
        <w:t xml:space="preserve"> cohort study. Br J Surg. 2021;108(11):1351-1359.</w:t>
      </w:r>
      <w:r w:rsidR="0014060B">
        <w:t xml:space="preserve"> </w:t>
      </w:r>
      <w:hyperlink r:id="rId12" w:history="1">
        <w:r w:rsidR="0014060B" w:rsidRPr="00767F56">
          <w:rPr>
            <w:rStyle w:val="Hyperlink"/>
          </w:rPr>
          <w:t>https://academic.oup.com/bjs/article/108/11/1351/6363089</w:t>
        </w:r>
      </w:hyperlink>
      <w:r w:rsidR="0014060B">
        <w:t xml:space="preserve"> </w:t>
      </w:r>
    </w:p>
    <w:p w14:paraId="48853263" w14:textId="77777777" w:rsidR="00461B15" w:rsidRDefault="00461B15" w:rsidP="003F6E03"/>
    <w:p w14:paraId="43B3BACE" w14:textId="77777777" w:rsidR="009F6850" w:rsidRDefault="009F6850"/>
    <w:p w14:paraId="1CC49C8E" w14:textId="19FCD031" w:rsidR="009F6850" w:rsidRDefault="009F6850"/>
    <w:p w14:paraId="72C00157" w14:textId="369F9FEC" w:rsidR="00C44B3B" w:rsidRDefault="00C44B3B"/>
    <w:sectPr w:rsidR="00C44B3B">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1BD4F" w14:textId="77777777" w:rsidR="00012FB4" w:rsidRDefault="00012FB4" w:rsidP="00AF5713">
      <w:pPr>
        <w:spacing w:after="0" w:line="240" w:lineRule="auto"/>
      </w:pPr>
      <w:r>
        <w:separator/>
      </w:r>
    </w:p>
  </w:endnote>
  <w:endnote w:type="continuationSeparator" w:id="0">
    <w:p w14:paraId="3B9C69E7" w14:textId="77777777" w:rsidR="00012FB4" w:rsidRDefault="00012FB4" w:rsidP="00AF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4144" w14:textId="72E73FA8" w:rsidR="003F6E03" w:rsidRDefault="003F6E03">
    <w:pPr>
      <w:pStyle w:val="Footer"/>
    </w:pPr>
    <w:r w:rsidRPr="003F6E03">
      <w:t>https://surgeryconference.euroscicon.com/</w:t>
    </w:r>
  </w:p>
  <w:p w14:paraId="1C2A7E19" w14:textId="77777777" w:rsidR="003F6E03" w:rsidRDefault="003F6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5F75A" w14:textId="77777777" w:rsidR="00012FB4" w:rsidRDefault="00012FB4" w:rsidP="00AF5713">
      <w:pPr>
        <w:spacing w:after="0" w:line="240" w:lineRule="auto"/>
      </w:pPr>
      <w:r>
        <w:separator/>
      </w:r>
    </w:p>
  </w:footnote>
  <w:footnote w:type="continuationSeparator" w:id="0">
    <w:p w14:paraId="438D4526" w14:textId="77777777" w:rsidR="00012FB4" w:rsidRDefault="00012FB4" w:rsidP="00AF5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57313" w14:textId="5328EA8D" w:rsidR="00AF5713" w:rsidRPr="00C44B3B" w:rsidRDefault="009F6850" w:rsidP="00C44B3B">
    <w:pPr>
      <w:pStyle w:val="Header"/>
    </w:pPr>
    <w:r w:rsidRPr="00C44B3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713"/>
    <w:rsid w:val="00012FB4"/>
    <w:rsid w:val="0005448F"/>
    <w:rsid w:val="0014060B"/>
    <w:rsid w:val="0025601B"/>
    <w:rsid w:val="003E0765"/>
    <w:rsid w:val="003F6E03"/>
    <w:rsid w:val="00461B15"/>
    <w:rsid w:val="00524C28"/>
    <w:rsid w:val="00965BA6"/>
    <w:rsid w:val="009F6850"/>
    <w:rsid w:val="00AF5713"/>
    <w:rsid w:val="00B549B3"/>
    <w:rsid w:val="00C44B3B"/>
    <w:rsid w:val="00E513E8"/>
    <w:rsid w:val="00F22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A5C75"/>
  <w15:chartTrackingRefBased/>
  <w15:docId w15:val="{722D3D35-8833-4CE1-87AD-911762D1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7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713"/>
    <w:rPr>
      <w:lang w:val="en-US"/>
    </w:rPr>
  </w:style>
  <w:style w:type="paragraph" w:styleId="Footer">
    <w:name w:val="footer"/>
    <w:basedOn w:val="Normal"/>
    <w:link w:val="FooterChar"/>
    <w:uiPriority w:val="99"/>
    <w:unhideWhenUsed/>
    <w:rsid w:val="00AF57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713"/>
    <w:rPr>
      <w:lang w:val="en-US"/>
    </w:rPr>
  </w:style>
  <w:style w:type="character" w:styleId="Hyperlink">
    <w:name w:val="Hyperlink"/>
    <w:basedOn w:val="DefaultParagraphFont"/>
    <w:uiPriority w:val="99"/>
    <w:unhideWhenUsed/>
    <w:rsid w:val="00F22A9C"/>
    <w:rPr>
      <w:color w:val="0563C1" w:themeColor="hyperlink"/>
      <w:u w:val="single"/>
    </w:rPr>
  </w:style>
  <w:style w:type="character" w:styleId="UnresolvedMention">
    <w:name w:val="Unresolved Mention"/>
    <w:basedOn w:val="DefaultParagraphFont"/>
    <w:uiPriority w:val="99"/>
    <w:semiHidden/>
    <w:unhideWhenUsed/>
    <w:rsid w:val="00F22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6233612/"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academic.oup.com/bjs/article/108/11/1351/636308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ncbi.nlm.nih.gov/pmc/articles/PMC7927587/"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thelancet.com/journals/lancet/article/PIIS0140-6736(20)31182-X/fulltext" TargetMode="External"/><Relationship Id="rId4" Type="http://schemas.openxmlformats.org/officeDocument/2006/relationships/footnotes" Target="footnotes.xml"/><Relationship Id="rId9" Type="http://schemas.openxmlformats.org/officeDocument/2006/relationships/hyperlink" Target="https://www.nejm.org/doi/10.1056/NEJMoa20143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Richards</dc:creator>
  <cp:keywords/>
  <dc:description/>
  <cp:lastModifiedBy>Chris Richards</cp:lastModifiedBy>
  <cp:revision>13</cp:revision>
  <dcterms:created xsi:type="dcterms:W3CDTF">2022-09-21T08:07:00Z</dcterms:created>
  <dcterms:modified xsi:type="dcterms:W3CDTF">2022-09-21T08:42:00Z</dcterms:modified>
</cp:coreProperties>
</file>