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453C2" w14:textId="77777777" w:rsidR="001B79B3" w:rsidRPr="001B79B3" w:rsidRDefault="001B79B3" w:rsidP="001B79B3">
      <w:pPr>
        <w:suppressAutoHyphens w:val="0"/>
        <w:textAlignment w:val="baseline"/>
        <w:rPr>
          <w:rFonts w:ascii="Arial" w:eastAsia="Times New Roman" w:hAnsi="Arial" w:cs="Arial"/>
          <w:spacing w:val="3"/>
          <w:lang w:eastAsia="en-GB"/>
        </w:rPr>
      </w:pPr>
      <w:r w:rsidRPr="001B79B3">
        <w:rPr>
          <w:rFonts w:ascii="Arial" w:eastAsia="Times New Roman" w:hAnsi="Arial" w:cs="Arial"/>
          <w:spacing w:val="3"/>
          <w:lang w:eastAsia="en-GB"/>
        </w:rPr>
        <w:t xml:space="preserve">Title </w:t>
      </w:r>
    </w:p>
    <w:p w14:paraId="08DE254D"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Early initiation of biochemical venous thromboembolism prophylaxis following traumatic spleen injury is safe and effectively reduce VTE events.</w:t>
      </w:r>
    </w:p>
    <w:p w14:paraId="4D49BD0F" w14:textId="77777777" w:rsidR="001B79B3" w:rsidRDefault="001B79B3" w:rsidP="001B79B3">
      <w:pPr>
        <w:suppressAutoHyphens w:val="0"/>
        <w:textAlignment w:val="baseline"/>
        <w:rPr>
          <w:rFonts w:ascii="Arial" w:eastAsia="Times New Roman" w:hAnsi="Arial" w:cs="Arial"/>
          <w:spacing w:val="3"/>
          <w:lang w:eastAsia="en-GB"/>
        </w:rPr>
      </w:pPr>
    </w:p>
    <w:p w14:paraId="20E6CA3C" w14:textId="77777777" w:rsidR="001B79B3" w:rsidRDefault="001B79B3" w:rsidP="001B79B3">
      <w:pPr>
        <w:suppressAutoHyphens w:val="0"/>
        <w:textAlignment w:val="baseline"/>
        <w:rPr>
          <w:rFonts w:ascii="Arial" w:eastAsia="Times New Roman" w:hAnsi="Arial" w:cs="Arial"/>
          <w:spacing w:val="3"/>
          <w:lang w:eastAsia="en-GB"/>
        </w:rPr>
      </w:pPr>
    </w:p>
    <w:p w14:paraId="50E914D8" w14:textId="77777777" w:rsidR="001B79B3" w:rsidRPr="001B79B3" w:rsidRDefault="001B79B3" w:rsidP="001B79B3">
      <w:pPr>
        <w:suppressAutoHyphens w:val="0"/>
        <w:textAlignment w:val="baseline"/>
        <w:rPr>
          <w:rFonts w:ascii="Arial" w:eastAsia="Times New Roman" w:hAnsi="Arial" w:cs="Arial"/>
          <w:spacing w:val="3"/>
          <w:lang w:eastAsia="en-GB"/>
        </w:rPr>
      </w:pPr>
      <w:r w:rsidRPr="001B79B3">
        <w:rPr>
          <w:rFonts w:ascii="Arial" w:eastAsia="Times New Roman" w:hAnsi="Arial" w:cs="Arial"/>
          <w:spacing w:val="3"/>
          <w:lang w:eastAsia="en-GB"/>
        </w:rPr>
        <w:t xml:space="preserve">Affiliations and Authors </w:t>
      </w:r>
    </w:p>
    <w:p w14:paraId="27E053AE" w14:textId="77777777" w:rsidR="00917619" w:rsidRDefault="00917619" w:rsidP="001B79B3">
      <w:pPr>
        <w:suppressAutoHyphens w:val="0"/>
        <w:textAlignment w:val="baseline"/>
        <w:rPr>
          <w:rFonts w:ascii="inherit" w:eastAsia="Times New Roman" w:hAnsi="inherit" w:cs="Times New Roman"/>
          <w:i/>
          <w:iCs/>
          <w:lang w:eastAsia="en-GB"/>
        </w:rPr>
      </w:pPr>
    </w:p>
    <w:p w14:paraId="63A04F24" w14:textId="77777777" w:rsidR="00917619" w:rsidRPr="001B79B3" w:rsidRDefault="00917619" w:rsidP="00917619">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Adel Mahmoud</w:t>
      </w:r>
    </w:p>
    <w:p w14:paraId="1809022E" w14:textId="77777777" w:rsidR="00917619" w:rsidRPr="001B79B3" w:rsidRDefault="00917619" w:rsidP="00917619">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18D19363" w14:textId="63F711F3"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Georges Rizkallah (Presenting)</w:t>
      </w:r>
    </w:p>
    <w:p w14:paraId="3B100C8A"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71BDE039" w14:textId="77777777"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Sheah Lin Lee</w:t>
      </w:r>
    </w:p>
    <w:p w14:paraId="1C4FDF99"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3F41B1D8"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of Southampton, Southampton, United Kingdom</w:t>
      </w:r>
    </w:p>
    <w:p w14:paraId="25D7CD34" w14:textId="77777777"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Ishada Handa</w:t>
      </w:r>
    </w:p>
    <w:p w14:paraId="62E813D6"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7C4DF1AC" w14:textId="77777777"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Joe Long</w:t>
      </w:r>
    </w:p>
    <w:p w14:paraId="553D5A21"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2DB78D90" w14:textId="77777777"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Virginia Massella</w:t>
      </w:r>
    </w:p>
    <w:p w14:paraId="75BEA487"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2DBAB95E" w14:textId="77777777"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Franko Shing Fun Ngan</w:t>
      </w:r>
    </w:p>
    <w:p w14:paraId="6F661B65"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of Southampton, Southampton, United Kingdom</w:t>
      </w:r>
    </w:p>
    <w:p w14:paraId="3B35E023" w14:textId="77777777"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Atiqur Rahman</w:t>
      </w:r>
    </w:p>
    <w:p w14:paraId="1CE46EAA"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02764255" w14:textId="77777777"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Jonathan Johns</w:t>
      </w:r>
    </w:p>
    <w:p w14:paraId="0DDB70CD"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36832B9D" w14:textId="77777777"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Sachin Modi</w:t>
      </w:r>
    </w:p>
    <w:p w14:paraId="612CE6EC"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12A3D11E" w14:textId="77777777" w:rsidR="001B79B3" w:rsidRPr="001B79B3" w:rsidRDefault="001B79B3" w:rsidP="001B79B3">
      <w:pPr>
        <w:suppressAutoHyphens w:val="0"/>
        <w:textAlignment w:val="baseline"/>
        <w:rPr>
          <w:rFonts w:ascii="inherit" w:eastAsia="Times New Roman" w:hAnsi="inherit" w:cs="Times New Roman"/>
          <w:i/>
          <w:iCs/>
          <w:lang w:eastAsia="en-GB"/>
        </w:rPr>
      </w:pPr>
      <w:r w:rsidRPr="001B79B3">
        <w:rPr>
          <w:rFonts w:ascii="inherit" w:eastAsia="Times New Roman" w:hAnsi="inherit" w:cs="Times New Roman"/>
          <w:i/>
          <w:iCs/>
          <w:lang w:eastAsia="en-GB"/>
        </w:rPr>
        <w:t>Hassan Elberm</w:t>
      </w:r>
    </w:p>
    <w:p w14:paraId="319A1629" w14:textId="77777777" w:rsidR="001B79B3" w:rsidRPr="001B79B3" w:rsidRDefault="001B79B3" w:rsidP="001B79B3">
      <w:pPr>
        <w:suppressAutoHyphens w:val="0"/>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University Hospital Southampton NHS Foundation Trust, Southampton, United Kingdom</w:t>
      </w:r>
    </w:p>
    <w:p w14:paraId="7F50E773" w14:textId="77777777" w:rsidR="001B79B3" w:rsidRDefault="001B79B3" w:rsidP="001B79B3">
      <w:pPr>
        <w:suppressAutoHyphens w:val="0"/>
        <w:textAlignment w:val="baseline"/>
        <w:rPr>
          <w:rFonts w:ascii="Arial" w:eastAsia="Times New Roman" w:hAnsi="Arial" w:cs="Arial"/>
          <w:spacing w:val="3"/>
          <w:lang w:eastAsia="en-GB"/>
        </w:rPr>
      </w:pPr>
    </w:p>
    <w:p w14:paraId="5DCC2EB2" w14:textId="77777777" w:rsidR="001B79B3" w:rsidRDefault="001B79B3" w:rsidP="001B79B3">
      <w:pPr>
        <w:suppressAutoHyphens w:val="0"/>
        <w:textAlignment w:val="baseline"/>
        <w:rPr>
          <w:rFonts w:ascii="Arial" w:eastAsia="Times New Roman" w:hAnsi="Arial" w:cs="Arial"/>
          <w:spacing w:val="3"/>
          <w:lang w:eastAsia="en-GB"/>
        </w:rPr>
      </w:pPr>
    </w:p>
    <w:p w14:paraId="7D284FAE" w14:textId="77777777" w:rsidR="001B79B3" w:rsidRPr="001B79B3" w:rsidRDefault="001B79B3" w:rsidP="001B79B3">
      <w:pPr>
        <w:suppressAutoHyphens w:val="0"/>
        <w:textAlignment w:val="baseline"/>
        <w:rPr>
          <w:rFonts w:ascii="Arial" w:eastAsia="Times New Roman" w:hAnsi="Arial" w:cs="Arial"/>
          <w:spacing w:val="3"/>
          <w:lang w:eastAsia="en-GB"/>
        </w:rPr>
      </w:pPr>
      <w:r w:rsidRPr="001B79B3">
        <w:rPr>
          <w:rFonts w:ascii="Arial" w:eastAsia="Times New Roman" w:hAnsi="Arial" w:cs="Arial"/>
          <w:spacing w:val="3"/>
          <w:lang w:eastAsia="en-GB"/>
        </w:rPr>
        <w:t xml:space="preserve">Background </w:t>
      </w:r>
    </w:p>
    <w:p w14:paraId="0E85D16E" w14:textId="77777777" w:rsidR="001B79B3" w:rsidRDefault="001B79B3" w:rsidP="001B79B3">
      <w:pPr>
        <w:suppressAutoHyphens w:val="0"/>
        <w:spacing w:before="100" w:beforeAutospacing="1" w:after="100" w:afterAutospacing="1"/>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The standard of care for managing patients with traumatic splenic injuries (TSI) has become non operative management (NOM)</w:t>
      </w:r>
      <w:r w:rsidRPr="001B79B3">
        <w:rPr>
          <w:rFonts w:ascii="Times New Roman" w:eastAsia="Times New Roman" w:hAnsi="Times New Roman" w:cs="Times New Roman"/>
          <w:sz w:val="18"/>
          <w:szCs w:val="18"/>
          <w:vertAlign w:val="superscript"/>
          <w:lang w:eastAsia="en-GB"/>
        </w:rPr>
        <w:t>1,3,4</w:t>
      </w:r>
      <w:r w:rsidRPr="001B79B3">
        <w:rPr>
          <w:rFonts w:ascii="Times New Roman" w:eastAsia="Times New Roman" w:hAnsi="Times New Roman" w:cs="Times New Roman"/>
          <w:lang w:eastAsia="en-GB"/>
        </w:rPr>
        <w:t>, but the safe window initiating chemical venous thromboembolism (VTE) prophylaxis, heparin or low molecular weight heparin (LMWH), is not well established </w:t>
      </w:r>
      <w:r w:rsidRPr="001B79B3">
        <w:rPr>
          <w:rFonts w:ascii="Times New Roman" w:eastAsia="Times New Roman" w:hAnsi="Times New Roman" w:cs="Times New Roman"/>
          <w:sz w:val="18"/>
          <w:szCs w:val="18"/>
          <w:vertAlign w:val="superscript"/>
          <w:lang w:eastAsia="en-GB"/>
        </w:rPr>
        <w:t>2</w:t>
      </w:r>
      <w:r w:rsidRPr="001B79B3">
        <w:rPr>
          <w:rFonts w:ascii="Times New Roman" w:eastAsia="Times New Roman" w:hAnsi="Times New Roman" w:cs="Times New Roman"/>
          <w:lang w:eastAsia="en-GB"/>
        </w:rPr>
        <w:t>. Within the first 48h from injury, hyper-coagulation state occurs which put trauma patients at risk of developing deep vein thrombosis(DVT), pulmonary embolism (PE) and lead to an increase rate in mortality </w:t>
      </w:r>
      <w:r w:rsidRPr="001B79B3">
        <w:rPr>
          <w:rFonts w:ascii="Times New Roman" w:eastAsia="Times New Roman" w:hAnsi="Times New Roman" w:cs="Times New Roman"/>
          <w:sz w:val="18"/>
          <w:szCs w:val="18"/>
          <w:vertAlign w:val="superscript"/>
          <w:lang w:eastAsia="en-GB"/>
        </w:rPr>
        <w:t>5,6</w:t>
      </w:r>
      <w:r w:rsidRPr="001B79B3">
        <w:rPr>
          <w:rFonts w:ascii="Times New Roman" w:eastAsia="Times New Roman" w:hAnsi="Times New Roman" w:cs="Times New Roman"/>
          <w:lang w:eastAsia="en-GB"/>
        </w:rPr>
        <w:t>. This study examines the safety and timing initiating VTE prophylaxis post splenic injury. </w:t>
      </w:r>
    </w:p>
    <w:p w14:paraId="3EC02F52" w14:textId="77777777" w:rsidR="001B79B3" w:rsidRPr="001B79B3" w:rsidRDefault="001B79B3" w:rsidP="001B79B3">
      <w:pPr>
        <w:suppressAutoHyphens w:val="0"/>
        <w:spacing w:before="100" w:beforeAutospacing="1" w:after="100" w:afterAutospacing="1"/>
        <w:textAlignment w:val="baseline"/>
        <w:rPr>
          <w:rFonts w:ascii="Times New Roman" w:eastAsia="Times New Roman" w:hAnsi="Times New Roman" w:cs="Times New Roman"/>
          <w:lang w:eastAsia="en-GB"/>
        </w:rPr>
      </w:pPr>
    </w:p>
    <w:p w14:paraId="6DE425C4" w14:textId="77777777" w:rsidR="001B79B3" w:rsidRPr="001B79B3" w:rsidRDefault="001B79B3" w:rsidP="001B79B3">
      <w:pPr>
        <w:suppressAutoHyphens w:val="0"/>
        <w:textAlignment w:val="baseline"/>
        <w:rPr>
          <w:rFonts w:ascii="Arial" w:eastAsia="Times New Roman" w:hAnsi="Arial" w:cs="Arial"/>
          <w:spacing w:val="3"/>
          <w:lang w:eastAsia="en-GB"/>
        </w:rPr>
      </w:pPr>
      <w:r w:rsidRPr="001B79B3">
        <w:rPr>
          <w:rFonts w:ascii="Arial" w:eastAsia="Times New Roman" w:hAnsi="Arial" w:cs="Arial"/>
          <w:spacing w:val="3"/>
          <w:lang w:eastAsia="en-GB"/>
        </w:rPr>
        <w:t xml:space="preserve">Methods </w:t>
      </w:r>
    </w:p>
    <w:p w14:paraId="6489CD42" w14:textId="77777777" w:rsidR="001B79B3" w:rsidRPr="001B79B3" w:rsidRDefault="001B79B3" w:rsidP="001B79B3">
      <w:pPr>
        <w:suppressAutoHyphens w:val="0"/>
        <w:spacing w:before="100" w:beforeAutospacing="1" w:after="100" w:afterAutospacing="1"/>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Patients with TSI were identified from prospectively maintained Trauma Audit and Research Network (TARN) database from 2015-2020 in a single tertiary trauma centre. Clinical and radio-logical information were collected retrospectively. TSI were graded using</w:t>
      </w:r>
    </w:p>
    <w:p w14:paraId="15943CF6" w14:textId="77777777" w:rsidR="001B79B3" w:rsidRPr="001B79B3" w:rsidRDefault="001B79B3" w:rsidP="001B79B3">
      <w:pPr>
        <w:suppressAutoHyphens w:val="0"/>
        <w:spacing w:before="100" w:beforeAutospacing="1" w:after="100" w:afterAutospacing="1"/>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American Association for the Surgery of Trauma (AAST) splenic injury scale. Chemical venous thromboprophylaxis initiation were categorised as not given, &lt;48h and &gt;48h following the injury. </w:t>
      </w:r>
    </w:p>
    <w:p w14:paraId="72F376FD" w14:textId="77777777" w:rsidR="001B79B3" w:rsidRPr="001B79B3" w:rsidRDefault="001B79B3" w:rsidP="001B79B3">
      <w:pPr>
        <w:suppressAutoHyphens w:val="0"/>
        <w:textAlignment w:val="baseline"/>
        <w:rPr>
          <w:rFonts w:ascii="Arial" w:eastAsia="Times New Roman" w:hAnsi="Arial" w:cs="Arial"/>
          <w:spacing w:val="3"/>
          <w:lang w:eastAsia="en-GB"/>
        </w:rPr>
      </w:pPr>
      <w:r w:rsidRPr="001B79B3">
        <w:rPr>
          <w:rFonts w:ascii="Arial" w:eastAsia="Times New Roman" w:hAnsi="Arial" w:cs="Arial"/>
          <w:spacing w:val="3"/>
          <w:lang w:eastAsia="en-GB"/>
        </w:rPr>
        <w:t xml:space="preserve">Results </w:t>
      </w:r>
    </w:p>
    <w:p w14:paraId="0128CF03" w14:textId="77777777" w:rsidR="001B79B3" w:rsidRPr="001B79B3" w:rsidRDefault="001B79B3" w:rsidP="001B79B3">
      <w:pPr>
        <w:suppressAutoHyphens w:val="0"/>
        <w:spacing w:before="100" w:beforeAutospacing="1" w:after="100" w:afterAutospacing="1"/>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In total 102 patient were included out of 136 patients identified with TSI. 34 patients were excluded for lack of electronic data, palliative decision or fatal condition on arrival. 12 patients out of 102 required operative management (OM) and 90 patients NOM. VTE prophylaxis was not given for 31 (30.4%). Medical reasons for this include severe brain injury and early discharge before 48 hours. VTE prophylaxis was initiated for 37 (36.3%) patients within 48 hours, and for 34 patients (33.3%) after 48 hours of admission. Seven patients developed thromboembolic events, majority of which (6/7) received VTE prophylaxis after 48 hours. Importantly, none of the patients who received VTE prophylaxis had rebleeding.</w:t>
      </w:r>
    </w:p>
    <w:p w14:paraId="159A4663" w14:textId="77777777" w:rsidR="001B79B3" w:rsidRPr="001B79B3" w:rsidRDefault="001B79B3" w:rsidP="001B79B3">
      <w:pPr>
        <w:suppressAutoHyphens w:val="0"/>
        <w:textAlignment w:val="baseline"/>
        <w:rPr>
          <w:rFonts w:ascii="Arial" w:eastAsia="Times New Roman" w:hAnsi="Arial" w:cs="Arial"/>
          <w:spacing w:val="3"/>
          <w:lang w:eastAsia="en-GB"/>
        </w:rPr>
      </w:pPr>
      <w:r>
        <w:rPr>
          <w:rFonts w:ascii="Arial" w:eastAsia="Times New Roman" w:hAnsi="Arial" w:cs="Arial"/>
          <w:spacing w:val="3"/>
          <w:lang w:eastAsia="en-GB"/>
        </w:rPr>
        <w:t xml:space="preserve">Conclusions </w:t>
      </w:r>
    </w:p>
    <w:p w14:paraId="5A8B0274" w14:textId="77777777" w:rsidR="001B79B3" w:rsidRPr="001B79B3" w:rsidRDefault="001B79B3" w:rsidP="001B79B3">
      <w:pPr>
        <w:suppressAutoHyphens w:val="0"/>
        <w:spacing w:before="100" w:beforeAutospacing="1" w:after="100" w:afterAutospacing="1"/>
        <w:textAlignment w:val="baseline"/>
        <w:rPr>
          <w:rFonts w:ascii="Times New Roman" w:eastAsia="Times New Roman" w:hAnsi="Times New Roman" w:cs="Times New Roman"/>
          <w:lang w:eastAsia="en-GB"/>
        </w:rPr>
      </w:pPr>
      <w:r w:rsidRPr="001B79B3">
        <w:rPr>
          <w:rFonts w:ascii="Times New Roman" w:eastAsia="Times New Roman" w:hAnsi="Times New Roman" w:cs="Times New Roman"/>
          <w:lang w:eastAsia="en-GB"/>
        </w:rPr>
        <w:t>This study showed that early initiation of chemical VTE prophylaxis (&lt;48h) is safe, resulted in lower incidence of DVTs/PEs without increasing the risk of bleeding. Results from this study supports recommendation from other studies </w:t>
      </w:r>
      <w:r w:rsidRPr="001B79B3">
        <w:rPr>
          <w:rFonts w:ascii="Times New Roman" w:eastAsia="Times New Roman" w:hAnsi="Times New Roman" w:cs="Times New Roman"/>
          <w:sz w:val="18"/>
          <w:szCs w:val="18"/>
          <w:vertAlign w:val="superscript"/>
          <w:lang w:eastAsia="en-GB"/>
        </w:rPr>
        <w:t>1</w:t>
      </w:r>
      <w:r w:rsidRPr="001B79B3">
        <w:rPr>
          <w:rFonts w:ascii="Times New Roman" w:eastAsia="Times New Roman" w:hAnsi="Times New Roman" w:cs="Times New Roman"/>
          <w:lang w:eastAsia="en-GB"/>
        </w:rPr>
        <w:t> to initiate chemical VTE prophylaxis after TSI as early as 24h post injury with no other contra-indications </w:t>
      </w:r>
    </w:p>
    <w:p w14:paraId="21EA1437" w14:textId="77777777" w:rsidR="001B79B3" w:rsidRDefault="001B79B3" w:rsidP="001B79B3"/>
    <w:p w14:paraId="2C164BB6" w14:textId="77777777" w:rsidR="001B79B3" w:rsidRDefault="001B79B3" w:rsidP="001B79B3"/>
    <w:p w14:paraId="6E6354C3" w14:textId="77777777" w:rsidR="001B79B3" w:rsidRDefault="001B79B3" w:rsidP="001B79B3"/>
    <w:tbl>
      <w:tblPr>
        <w:tblStyle w:val="GridTable4-Accent61"/>
        <w:tblW w:w="5250" w:type="dxa"/>
        <w:tblLook w:val="04A0" w:firstRow="1" w:lastRow="0" w:firstColumn="1" w:lastColumn="0" w:noHBand="0" w:noVBand="1"/>
      </w:tblPr>
      <w:tblGrid>
        <w:gridCol w:w="2252"/>
        <w:gridCol w:w="1296"/>
        <w:gridCol w:w="851"/>
        <w:gridCol w:w="851"/>
      </w:tblGrid>
      <w:tr w:rsidR="001B79B3" w14:paraId="5DC5B1FF" w14:textId="77777777" w:rsidTr="00F22A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Borders>
              <w:top w:val="single" w:sz="4" w:space="0" w:color="70AD47"/>
              <w:left w:val="single" w:sz="4" w:space="0" w:color="70AD47"/>
              <w:bottom w:val="single" w:sz="4" w:space="0" w:color="70AD47"/>
              <w:right w:val="single" w:sz="4" w:space="0" w:color="70AD47"/>
            </w:tcBorders>
          </w:tcPr>
          <w:p w14:paraId="73B7C043" w14:textId="77777777" w:rsidR="001B79B3" w:rsidRDefault="001B79B3" w:rsidP="00F22A06"/>
        </w:tc>
        <w:tc>
          <w:tcPr>
            <w:tcW w:w="1296" w:type="dxa"/>
            <w:tcBorders>
              <w:top w:val="single" w:sz="4" w:space="0" w:color="70AD47"/>
              <w:left w:val="single" w:sz="4" w:space="0" w:color="70AD47"/>
              <w:bottom w:val="single" w:sz="4" w:space="0" w:color="70AD47"/>
              <w:right w:val="single" w:sz="4" w:space="0" w:color="70AD47"/>
            </w:tcBorders>
          </w:tcPr>
          <w:p w14:paraId="6B57BB41" w14:textId="77777777" w:rsidR="001B79B3" w:rsidRDefault="001B79B3" w:rsidP="00F22A06">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Not given (n=31)</w:t>
            </w:r>
          </w:p>
        </w:tc>
        <w:tc>
          <w:tcPr>
            <w:tcW w:w="851" w:type="dxa"/>
            <w:tcBorders>
              <w:top w:val="single" w:sz="4" w:space="0" w:color="70AD47"/>
              <w:left w:val="single" w:sz="4" w:space="0" w:color="70AD47"/>
              <w:bottom w:val="single" w:sz="4" w:space="0" w:color="70AD47"/>
              <w:right w:val="single" w:sz="4" w:space="0" w:color="70AD47"/>
            </w:tcBorders>
          </w:tcPr>
          <w:p w14:paraId="1FB7A2A1" w14:textId="77777777" w:rsidR="001B79B3" w:rsidRDefault="001B79B3" w:rsidP="00F22A06">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&lt;48h (n=37)</w:t>
            </w:r>
          </w:p>
        </w:tc>
        <w:tc>
          <w:tcPr>
            <w:tcW w:w="851" w:type="dxa"/>
            <w:tcBorders>
              <w:top w:val="single" w:sz="4" w:space="0" w:color="70AD47"/>
              <w:left w:val="single" w:sz="4" w:space="0" w:color="70AD47"/>
              <w:bottom w:val="single" w:sz="4" w:space="0" w:color="70AD47"/>
              <w:right w:val="single" w:sz="4" w:space="0" w:color="70AD47"/>
            </w:tcBorders>
          </w:tcPr>
          <w:p w14:paraId="62E6B142" w14:textId="77777777" w:rsidR="001B79B3" w:rsidRDefault="001B79B3" w:rsidP="00F22A06">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&gt;48h</w:t>
            </w:r>
          </w:p>
          <w:p w14:paraId="472B28B6" w14:textId="77777777" w:rsidR="001B79B3" w:rsidRDefault="001B79B3" w:rsidP="00F22A06">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(n=34)</w:t>
            </w:r>
          </w:p>
        </w:tc>
      </w:tr>
      <w:tr w:rsidR="001B79B3" w14:paraId="4F8C2912" w14:textId="77777777" w:rsidTr="00F22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Pr>
          <w:p w14:paraId="044A625A" w14:textId="77777777" w:rsidR="001B79B3" w:rsidRDefault="001B79B3" w:rsidP="00F22A06">
            <w:pPr>
              <w:rPr>
                <w:b w:val="0"/>
                <w:bCs w:val="0"/>
              </w:rPr>
            </w:pPr>
            <w:r>
              <w:rPr>
                <w:b w:val="0"/>
                <w:bCs w:val="0"/>
              </w:rPr>
              <w:t xml:space="preserve">AAST grade </w:t>
            </w:r>
          </w:p>
          <w:p w14:paraId="34ABBA96" w14:textId="77777777" w:rsidR="001B79B3" w:rsidRDefault="001B79B3" w:rsidP="00F22A06">
            <w:pPr>
              <w:jc w:val="right"/>
              <w:rPr>
                <w:i/>
                <w:iCs/>
              </w:rPr>
            </w:pPr>
            <w:r>
              <w:rPr>
                <w:i/>
                <w:iCs/>
              </w:rPr>
              <w:t>Grade 1</w:t>
            </w:r>
          </w:p>
          <w:p w14:paraId="3B21E68E" w14:textId="77777777" w:rsidR="001B79B3" w:rsidRDefault="001B79B3" w:rsidP="00F22A06">
            <w:pPr>
              <w:jc w:val="right"/>
              <w:rPr>
                <w:i/>
                <w:iCs/>
              </w:rPr>
            </w:pPr>
            <w:r>
              <w:rPr>
                <w:i/>
                <w:iCs/>
              </w:rPr>
              <w:t xml:space="preserve">Grade 2 </w:t>
            </w:r>
          </w:p>
          <w:p w14:paraId="1E96BC2A" w14:textId="77777777" w:rsidR="001B79B3" w:rsidRDefault="001B79B3" w:rsidP="00F22A06">
            <w:pPr>
              <w:jc w:val="right"/>
              <w:rPr>
                <w:i/>
                <w:iCs/>
              </w:rPr>
            </w:pPr>
            <w:r>
              <w:rPr>
                <w:i/>
                <w:iCs/>
              </w:rPr>
              <w:t xml:space="preserve">Grade 3 </w:t>
            </w:r>
          </w:p>
          <w:p w14:paraId="17BD6449" w14:textId="77777777" w:rsidR="001B79B3" w:rsidRDefault="001B79B3" w:rsidP="00F22A06">
            <w:pPr>
              <w:jc w:val="right"/>
              <w:rPr>
                <w:i/>
                <w:iCs/>
              </w:rPr>
            </w:pPr>
            <w:r>
              <w:rPr>
                <w:i/>
                <w:iCs/>
              </w:rPr>
              <w:t xml:space="preserve">Grade 4 </w:t>
            </w:r>
          </w:p>
          <w:p w14:paraId="57BD13DE" w14:textId="77777777" w:rsidR="001B79B3" w:rsidRDefault="001B79B3" w:rsidP="00F22A06">
            <w:pPr>
              <w:jc w:val="right"/>
            </w:pPr>
            <w:r>
              <w:rPr>
                <w:i/>
                <w:iCs/>
              </w:rPr>
              <w:t>Grade 5</w:t>
            </w:r>
            <w:r>
              <w:t xml:space="preserve"> </w:t>
            </w:r>
          </w:p>
        </w:tc>
        <w:tc>
          <w:tcPr>
            <w:tcW w:w="1296" w:type="dxa"/>
          </w:tcPr>
          <w:p w14:paraId="0BB01334" w14:textId="77777777" w:rsidR="001B79B3" w:rsidRDefault="001B79B3" w:rsidP="00F22A06">
            <w:pPr>
              <w:cnfStyle w:val="000000100000" w:firstRow="0" w:lastRow="0" w:firstColumn="0" w:lastColumn="0" w:oddVBand="0" w:evenVBand="0" w:oddHBand="1" w:evenHBand="0" w:firstRowFirstColumn="0" w:firstRowLastColumn="0" w:lastRowFirstColumn="0" w:lastRowLastColumn="0"/>
            </w:pPr>
          </w:p>
          <w:p w14:paraId="7CDD6669"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3</w:t>
            </w:r>
          </w:p>
          <w:p w14:paraId="54AED702"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11</w:t>
            </w:r>
          </w:p>
          <w:p w14:paraId="527B5426"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10</w:t>
            </w:r>
          </w:p>
          <w:p w14:paraId="60580946"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5</w:t>
            </w:r>
          </w:p>
          <w:p w14:paraId="2C68A99C"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2</w:t>
            </w:r>
          </w:p>
        </w:tc>
        <w:tc>
          <w:tcPr>
            <w:tcW w:w="851" w:type="dxa"/>
          </w:tcPr>
          <w:p w14:paraId="463F7DB8"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0CC6D097"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3</w:t>
            </w:r>
          </w:p>
          <w:p w14:paraId="423CF50A"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10</w:t>
            </w:r>
          </w:p>
          <w:p w14:paraId="379165B6"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16</w:t>
            </w:r>
          </w:p>
          <w:p w14:paraId="5FF7D23A"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4</w:t>
            </w:r>
          </w:p>
          <w:p w14:paraId="4148F67A"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4</w:t>
            </w:r>
          </w:p>
        </w:tc>
        <w:tc>
          <w:tcPr>
            <w:tcW w:w="851" w:type="dxa"/>
          </w:tcPr>
          <w:p w14:paraId="27248661"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3F440BD5"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10</w:t>
            </w:r>
          </w:p>
          <w:p w14:paraId="3086C6FE"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11</w:t>
            </w:r>
          </w:p>
          <w:p w14:paraId="3D8CC53B"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6</w:t>
            </w:r>
          </w:p>
          <w:p w14:paraId="5C7742CC"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2</w:t>
            </w:r>
          </w:p>
          <w:p w14:paraId="664A6832"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5</w:t>
            </w:r>
          </w:p>
        </w:tc>
      </w:tr>
      <w:tr w:rsidR="001B79B3" w14:paraId="1ABED539" w14:textId="77777777" w:rsidTr="00F22A06">
        <w:tc>
          <w:tcPr>
            <w:cnfStyle w:val="001000000000" w:firstRow="0" w:lastRow="0" w:firstColumn="1" w:lastColumn="0" w:oddVBand="0" w:evenVBand="0" w:oddHBand="0" w:evenHBand="0" w:firstRowFirstColumn="0" w:firstRowLastColumn="0" w:lastRowFirstColumn="0" w:lastRowLastColumn="0"/>
            <w:tcW w:w="2251" w:type="dxa"/>
          </w:tcPr>
          <w:p w14:paraId="4F106863" w14:textId="77777777" w:rsidR="001B79B3" w:rsidRDefault="001B79B3" w:rsidP="00F22A06">
            <w:pPr>
              <w:rPr>
                <w:b w:val="0"/>
                <w:bCs w:val="0"/>
              </w:rPr>
            </w:pPr>
            <w:r>
              <w:rPr>
                <w:b w:val="0"/>
                <w:bCs w:val="0"/>
              </w:rPr>
              <w:t xml:space="preserve">ISS score            </w:t>
            </w:r>
          </w:p>
          <w:p w14:paraId="4381776E" w14:textId="77777777" w:rsidR="001B79B3" w:rsidRDefault="001B79B3" w:rsidP="00F22A06">
            <w:pPr>
              <w:jc w:val="right"/>
              <w:rPr>
                <w:i/>
                <w:iCs/>
              </w:rPr>
            </w:pPr>
            <w:r>
              <w:rPr>
                <w:i/>
                <w:iCs/>
              </w:rPr>
              <w:t>0-8</w:t>
            </w:r>
          </w:p>
          <w:p w14:paraId="58CF8C27" w14:textId="77777777" w:rsidR="001B79B3" w:rsidRDefault="001B79B3" w:rsidP="00F22A06">
            <w:pPr>
              <w:jc w:val="right"/>
              <w:rPr>
                <w:i/>
                <w:iCs/>
              </w:rPr>
            </w:pPr>
            <w:r>
              <w:rPr>
                <w:i/>
                <w:iCs/>
              </w:rPr>
              <w:t>8-15</w:t>
            </w:r>
          </w:p>
          <w:p w14:paraId="2D40A22A" w14:textId="77777777" w:rsidR="001B79B3" w:rsidRDefault="001B79B3" w:rsidP="00F22A06">
            <w:pPr>
              <w:jc w:val="right"/>
            </w:pPr>
            <w:r>
              <w:rPr>
                <w:i/>
                <w:iCs/>
              </w:rPr>
              <w:t>&gt;15</w:t>
            </w:r>
          </w:p>
        </w:tc>
        <w:tc>
          <w:tcPr>
            <w:tcW w:w="1296" w:type="dxa"/>
          </w:tcPr>
          <w:p w14:paraId="2399F19D"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p>
          <w:p w14:paraId="63D6CB08"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1</w:t>
            </w:r>
          </w:p>
          <w:p w14:paraId="4237D82F"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7</w:t>
            </w:r>
          </w:p>
          <w:p w14:paraId="736D5A96"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23</w:t>
            </w:r>
          </w:p>
        </w:tc>
        <w:tc>
          <w:tcPr>
            <w:tcW w:w="851" w:type="dxa"/>
          </w:tcPr>
          <w:p w14:paraId="453932B0"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p>
          <w:p w14:paraId="3E5A7011"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0</w:t>
            </w:r>
          </w:p>
          <w:p w14:paraId="2E8A05C2"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2</w:t>
            </w:r>
          </w:p>
          <w:p w14:paraId="000BA531"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35</w:t>
            </w:r>
          </w:p>
        </w:tc>
        <w:tc>
          <w:tcPr>
            <w:tcW w:w="851" w:type="dxa"/>
          </w:tcPr>
          <w:p w14:paraId="59CD07BD"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p>
          <w:p w14:paraId="29AECDAE"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1</w:t>
            </w:r>
          </w:p>
          <w:p w14:paraId="32156288"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6</w:t>
            </w:r>
          </w:p>
          <w:p w14:paraId="7971B878"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27</w:t>
            </w:r>
          </w:p>
        </w:tc>
      </w:tr>
      <w:tr w:rsidR="001B79B3" w14:paraId="06721E02" w14:textId="77777777" w:rsidTr="00F22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Pr>
          <w:p w14:paraId="2606A87A" w14:textId="77777777" w:rsidR="001B79B3" w:rsidRDefault="001B79B3" w:rsidP="00F22A06">
            <w:pPr>
              <w:rPr>
                <w:b w:val="0"/>
                <w:bCs w:val="0"/>
              </w:rPr>
            </w:pPr>
            <w:r>
              <w:rPr>
                <w:b w:val="0"/>
                <w:bCs w:val="0"/>
              </w:rPr>
              <w:t>Management</w:t>
            </w:r>
          </w:p>
          <w:p w14:paraId="687A0FB5" w14:textId="77777777" w:rsidR="001B79B3" w:rsidRDefault="001B79B3" w:rsidP="00F22A06">
            <w:pPr>
              <w:jc w:val="right"/>
              <w:rPr>
                <w:i/>
                <w:iCs/>
              </w:rPr>
            </w:pPr>
            <w:r>
              <w:rPr>
                <w:i/>
                <w:iCs/>
              </w:rPr>
              <w:t xml:space="preserve">Conservative </w:t>
            </w:r>
          </w:p>
          <w:p w14:paraId="2DB98638" w14:textId="77777777" w:rsidR="001B79B3" w:rsidRDefault="001B79B3" w:rsidP="00F22A06">
            <w:pPr>
              <w:jc w:val="right"/>
              <w:rPr>
                <w:i/>
                <w:iCs/>
              </w:rPr>
            </w:pPr>
            <w:r>
              <w:rPr>
                <w:i/>
                <w:iCs/>
              </w:rPr>
              <w:t>Embolisation</w:t>
            </w:r>
          </w:p>
          <w:p w14:paraId="415EE8A9" w14:textId="77777777" w:rsidR="001B79B3" w:rsidRDefault="001B79B3" w:rsidP="00F22A06">
            <w:pPr>
              <w:jc w:val="right"/>
            </w:pPr>
            <w:r>
              <w:rPr>
                <w:i/>
                <w:iCs/>
              </w:rPr>
              <w:t>Operative</w:t>
            </w:r>
            <w:r>
              <w:t xml:space="preserve"> </w:t>
            </w:r>
          </w:p>
        </w:tc>
        <w:tc>
          <w:tcPr>
            <w:tcW w:w="1296" w:type="dxa"/>
          </w:tcPr>
          <w:p w14:paraId="71107ED2"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20DE3FEB"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27</w:t>
            </w:r>
          </w:p>
          <w:p w14:paraId="0946D724"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3</w:t>
            </w:r>
          </w:p>
          <w:p w14:paraId="7DB83F77"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1</w:t>
            </w:r>
          </w:p>
        </w:tc>
        <w:tc>
          <w:tcPr>
            <w:tcW w:w="851" w:type="dxa"/>
          </w:tcPr>
          <w:p w14:paraId="2067ABB2"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4432A20E"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25</w:t>
            </w:r>
          </w:p>
          <w:p w14:paraId="657FDD7B"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7</w:t>
            </w:r>
          </w:p>
          <w:p w14:paraId="7560B52F"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5</w:t>
            </w:r>
          </w:p>
        </w:tc>
        <w:tc>
          <w:tcPr>
            <w:tcW w:w="851" w:type="dxa"/>
          </w:tcPr>
          <w:p w14:paraId="1A13D5CC"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05FDA132"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24</w:t>
            </w:r>
          </w:p>
          <w:p w14:paraId="6E1DA379"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4</w:t>
            </w:r>
          </w:p>
          <w:p w14:paraId="02154E86"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6</w:t>
            </w:r>
          </w:p>
        </w:tc>
      </w:tr>
      <w:tr w:rsidR="001B79B3" w14:paraId="7FFFA45D" w14:textId="77777777" w:rsidTr="00F22A06">
        <w:tc>
          <w:tcPr>
            <w:cnfStyle w:val="001000000000" w:firstRow="0" w:lastRow="0" w:firstColumn="1" w:lastColumn="0" w:oddVBand="0" w:evenVBand="0" w:oddHBand="0" w:evenHBand="0" w:firstRowFirstColumn="0" w:firstRowLastColumn="0" w:lastRowFirstColumn="0" w:lastRowLastColumn="0"/>
            <w:tcW w:w="2251" w:type="dxa"/>
          </w:tcPr>
          <w:p w14:paraId="62F5F676" w14:textId="77777777" w:rsidR="001B79B3" w:rsidRDefault="001B79B3" w:rsidP="00F22A06">
            <w:pPr>
              <w:rPr>
                <w:b w:val="0"/>
                <w:bCs w:val="0"/>
              </w:rPr>
            </w:pPr>
            <w:r>
              <w:rPr>
                <w:b w:val="0"/>
                <w:bCs w:val="0"/>
              </w:rPr>
              <w:t xml:space="preserve">VTE events </w:t>
            </w:r>
          </w:p>
          <w:p w14:paraId="10FD057F" w14:textId="77777777" w:rsidR="001B79B3" w:rsidRDefault="001B79B3" w:rsidP="00F22A06">
            <w:pPr>
              <w:jc w:val="right"/>
              <w:rPr>
                <w:i/>
                <w:iCs/>
              </w:rPr>
            </w:pPr>
            <w:r>
              <w:rPr>
                <w:i/>
                <w:iCs/>
              </w:rPr>
              <w:t xml:space="preserve">DVT </w:t>
            </w:r>
          </w:p>
          <w:p w14:paraId="55C88E43" w14:textId="77777777" w:rsidR="001B79B3" w:rsidRDefault="001B79B3" w:rsidP="00F22A06">
            <w:pPr>
              <w:jc w:val="right"/>
            </w:pPr>
            <w:r>
              <w:rPr>
                <w:i/>
                <w:iCs/>
              </w:rPr>
              <w:t>PE</w:t>
            </w:r>
          </w:p>
        </w:tc>
        <w:tc>
          <w:tcPr>
            <w:tcW w:w="1296" w:type="dxa"/>
          </w:tcPr>
          <w:p w14:paraId="0A0671DE"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p>
          <w:p w14:paraId="344AF6BD"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0</w:t>
            </w:r>
          </w:p>
          <w:p w14:paraId="3AE88721"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0</w:t>
            </w:r>
          </w:p>
        </w:tc>
        <w:tc>
          <w:tcPr>
            <w:tcW w:w="851" w:type="dxa"/>
          </w:tcPr>
          <w:p w14:paraId="0594C7FF"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p>
          <w:p w14:paraId="37C92E4B"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1</w:t>
            </w:r>
          </w:p>
          <w:p w14:paraId="3C01D6FA"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0</w:t>
            </w:r>
          </w:p>
        </w:tc>
        <w:tc>
          <w:tcPr>
            <w:tcW w:w="851" w:type="dxa"/>
          </w:tcPr>
          <w:p w14:paraId="2DA10598"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p>
          <w:p w14:paraId="15606AB8"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4</w:t>
            </w:r>
          </w:p>
          <w:p w14:paraId="2EEAC7CC" w14:textId="77777777" w:rsidR="001B79B3" w:rsidRDefault="001B79B3" w:rsidP="00F22A06">
            <w:pPr>
              <w:jc w:val="right"/>
              <w:cnfStyle w:val="000000000000" w:firstRow="0" w:lastRow="0" w:firstColumn="0" w:lastColumn="0" w:oddVBand="0" w:evenVBand="0" w:oddHBand="0" w:evenHBand="0" w:firstRowFirstColumn="0" w:firstRowLastColumn="0" w:lastRowFirstColumn="0" w:lastRowLastColumn="0"/>
            </w:pPr>
            <w:r>
              <w:t>2</w:t>
            </w:r>
          </w:p>
        </w:tc>
      </w:tr>
      <w:tr w:rsidR="001B79B3" w14:paraId="2AAB134B" w14:textId="77777777" w:rsidTr="00F22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Pr>
          <w:p w14:paraId="0D517A07" w14:textId="77777777" w:rsidR="001B79B3" w:rsidRDefault="001B79B3" w:rsidP="00F22A06">
            <w:pPr>
              <w:rPr>
                <w:b w:val="0"/>
                <w:bCs w:val="0"/>
              </w:rPr>
            </w:pPr>
            <w:r>
              <w:rPr>
                <w:b w:val="0"/>
                <w:bCs w:val="0"/>
              </w:rPr>
              <w:t xml:space="preserve">Complications from VTE prophylaxis </w:t>
            </w:r>
          </w:p>
          <w:p w14:paraId="09C303F0" w14:textId="77777777" w:rsidR="001B79B3" w:rsidRDefault="001B79B3" w:rsidP="00F22A06">
            <w:pPr>
              <w:jc w:val="right"/>
              <w:rPr>
                <w:i/>
                <w:iCs/>
              </w:rPr>
            </w:pPr>
            <w:r>
              <w:rPr>
                <w:i/>
                <w:iCs/>
              </w:rPr>
              <w:t xml:space="preserve">Bleeding </w:t>
            </w:r>
          </w:p>
          <w:p w14:paraId="197AB3CE" w14:textId="77777777" w:rsidR="001B79B3" w:rsidRDefault="001B79B3" w:rsidP="00F22A06">
            <w:pPr>
              <w:jc w:val="right"/>
              <w:rPr>
                <w:b w:val="0"/>
                <w:bCs w:val="0"/>
              </w:rPr>
            </w:pPr>
            <w:r>
              <w:rPr>
                <w:i/>
                <w:iCs/>
              </w:rPr>
              <w:t>HIIT</w:t>
            </w:r>
          </w:p>
        </w:tc>
        <w:tc>
          <w:tcPr>
            <w:tcW w:w="1296" w:type="dxa"/>
          </w:tcPr>
          <w:p w14:paraId="1350A05C"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17249795"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71D7DE68"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017C2D3A"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0</w:t>
            </w:r>
          </w:p>
          <w:p w14:paraId="13DFBDD9"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0</w:t>
            </w:r>
          </w:p>
        </w:tc>
        <w:tc>
          <w:tcPr>
            <w:tcW w:w="851" w:type="dxa"/>
          </w:tcPr>
          <w:p w14:paraId="0982F505"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7FFE6EDB"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5EEFCC4B"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307D3DBA"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0</w:t>
            </w:r>
          </w:p>
          <w:p w14:paraId="4FB5D24D"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0</w:t>
            </w:r>
          </w:p>
        </w:tc>
        <w:tc>
          <w:tcPr>
            <w:tcW w:w="851" w:type="dxa"/>
          </w:tcPr>
          <w:p w14:paraId="0D51A3A0"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0FFEE7D3"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4110540E"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p>
          <w:p w14:paraId="2A758517"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0</w:t>
            </w:r>
          </w:p>
          <w:p w14:paraId="797F7B53" w14:textId="77777777" w:rsidR="001B79B3" w:rsidRDefault="001B79B3" w:rsidP="00F22A06">
            <w:pPr>
              <w:jc w:val="right"/>
              <w:cnfStyle w:val="000000100000" w:firstRow="0" w:lastRow="0" w:firstColumn="0" w:lastColumn="0" w:oddVBand="0" w:evenVBand="0" w:oddHBand="1" w:evenHBand="0" w:firstRowFirstColumn="0" w:firstRowLastColumn="0" w:lastRowFirstColumn="0" w:lastRowLastColumn="0"/>
            </w:pPr>
            <w:r>
              <w:t>0</w:t>
            </w:r>
          </w:p>
        </w:tc>
      </w:tr>
    </w:tbl>
    <w:p w14:paraId="000FECB5" w14:textId="77777777" w:rsidR="001B79B3" w:rsidRDefault="001B79B3" w:rsidP="001B79B3"/>
    <w:p w14:paraId="7DF881AA" w14:textId="77777777" w:rsidR="001B79B3" w:rsidRDefault="001B79B3" w:rsidP="001B79B3"/>
    <w:p w14:paraId="41935384" w14:textId="77777777" w:rsidR="001B79B3" w:rsidRDefault="001B79B3" w:rsidP="001B79B3">
      <w:r>
        <w:t xml:space="preserve">References: </w:t>
      </w:r>
    </w:p>
    <w:p w14:paraId="4BF7C0B3" w14:textId="77777777" w:rsidR="001B79B3" w:rsidRDefault="001B79B3" w:rsidP="001B79B3"/>
    <w:p w14:paraId="7AA87362" w14:textId="2D41DAA4" w:rsidR="001B79B3" w:rsidRDefault="001B79B3" w:rsidP="001B79B3">
      <w:pPr>
        <w:pStyle w:val="ListParagraph"/>
        <w:numPr>
          <w:ilvl w:val="0"/>
          <w:numId w:val="1"/>
        </w:numPr>
      </w:pPr>
      <w:r>
        <w:t>Kwok, A.M., Davis, J.W., Dirks, R.C., Wolfe, M.M. and Kaups, K.L. (2016). Time is now: venous thromboembolism prophylaxis in blunt splenic injury. </w:t>
      </w:r>
      <w:r>
        <w:rPr>
          <w:i/>
          <w:iCs/>
        </w:rPr>
        <w:t>American Journal of Surgery</w:t>
      </w:r>
      <w:r>
        <w:t xml:space="preserve">, 212(6), pp.1231–1236. </w:t>
      </w:r>
    </w:p>
    <w:p w14:paraId="2B5F6712" w14:textId="0EDE04BC" w:rsidR="001B79B3" w:rsidRDefault="001B79B3" w:rsidP="001B79B3">
      <w:pPr>
        <w:pStyle w:val="ListParagraph"/>
        <w:numPr>
          <w:ilvl w:val="0"/>
          <w:numId w:val="1"/>
        </w:numPr>
      </w:pPr>
      <w:r>
        <w:t>Coccolini, F., Montori, G., Catena, F., Kluger, Y., Biffl, W., Moore, E.E., Reva, V., Bing, C., Bala, M., Fugazzola, P., Bahouth, H., Marzi, I., Velmahos, G., Ivatury, R., Soreide, K., Horer, T., ten Broek, R., Pereira, B.M., Fraga, G.P. and Inaba, K. (2017). Splenic trauma: WSES classification and guidelines for adult and pediatric patients. </w:t>
      </w:r>
      <w:r>
        <w:rPr>
          <w:i/>
          <w:iCs/>
        </w:rPr>
        <w:t>World Journal of Emergency Surgery</w:t>
      </w:r>
      <w:r>
        <w:t xml:space="preserve">, 12(1). </w:t>
      </w:r>
    </w:p>
    <w:p w14:paraId="0601E9BF" w14:textId="77777777" w:rsidR="001B79B3" w:rsidRDefault="001B79B3" w:rsidP="001B79B3">
      <w:pPr>
        <w:pStyle w:val="ListParagraph"/>
        <w:numPr>
          <w:ilvl w:val="0"/>
          <w:numId w:val="1"/>
        </w:numPr>
      </w:pPr>
      <w:r>
        <w:t>Schellenberg, M., Inaba, K., Biswas, S., Heindel, P., Benjamin, E., Strumwasser, A., Matsushima, K., Lam, L. and Demetriades, D. (2019). When is It Safe to Start VTE Prophylaxis After Blunt Solid Organ Injury? A Prospective Study from a Level I Trauma Center. </w:t>
      </w:r>
      <w:r>
        <w:rPr>
          <w:i/>
          <w:iCs/>
        </w:rPr>
        <w:t>World Journal of Surgery</w:t>
      </w:r>
      <w:r>
        <w:t>, 43(11), pp.2797–2803.</w:t>
      </w:r>
    </w:p>
    <w:p w14:paraId="1270ED73" w14:textId="56C51636" w:rsidR="001B79B3" w:rsidRDefault="001B79B3" w:rsidP="001B79B3">
      <w:pPr>
        <w:pStyle w:val="ListParagraph"/>
        <w:numPr>
          <w:ilvl w:val="0"/>
          <w:numId w:val="1"/>
        </w:numPr>
      </w:pPr>
      <w:r>
        <w:t>Harbrecht, B.G., Zenati, M.S., Ochoa, J.B., Puyana, J.C., Alarcon, L.H. and Peitzman, A.B. (2007). Evaluation of a 15-year experience with splenic injuries in a state trauma system. </w:t>
      </w:r>
      <w:r>
        <w:rPr>
          <w:i/>
          <w:iCs/>
        </w:rPr>
        <w:t>Surgery</w:t>
      </w:r>
      <w:r>
        <w:t xml:space="preserve">, 141(2), pp.229–238. </w:t>
      </w:r>
    </w:p>
    <w:p w14:paraId="11521CF0" w14:textId="545DADE8" w:rsidR="001B79B3" w:rsidRDefault="001B79B3" w:rsidP="001B79B3">
      <w:pPr>
        <w:pStyle w:val="ListParagraph"/>
        <w:numPr>
          <w:ilvl w:val="0"/>
          <w:numId w:val="1"/>
        </w:numPr>
      </w:pPr>
      <w:r>
        <w:t>Rostas, J.W., Manley, J., Gonzalez, R.P., Brevard, S.B., Ahmed, N., Frotan, M.A., Mitchell, E. and Simmons, J.D. (2015). The safety of low molecular-weight heparin after blunt liver and spleen injuries. </w:t>
      </w:r>
      <w:r>
        <w:rPr>
          <w:i/>
          <w:iCs/>
        </w:rPr>
        <w:t>American Journal of Surgery</w:t>
      </w:r>
      <w:r>
        <w:t xml:space="preserve">, 210(1), pp.31–34. </w:t>
      </w:r>
    </w:p>
    <w:p w14:paraId="6383367B" w14:textId="77777777" w:rsidR="004578CB" w:rsidRDefault="001B79B3" w:rsidP="004578CB">
      <w:pPr>
        <w:pStyle w:val="ListParagraph"/>
        <w:numPr>
          <w:ilvl w:val="0"/>
          <w:numId w:val="1"/>
        </w:numPr>
      </w:pPr>
      <w:r>
        <w:t>Murphy, P.B., Sothilingam, N., Stewart, T.C., Batey, B., Moffat, B., Gray, D.K., Parry, N.G. and Vogt, K.N. (2016). Very early initiation of chemical venous thromboembolism prophylaxis after blunt solid organ injury is safe. </w:t>
      </w:r>
      <w:r>
        <w:rPr>
          <w:i/>
          <w:iCs/>
        </w:rPr>
        <w:t>Canadian Journal of Surgery</w:t>
      </w:r>
      <w:r>
        <w:t xml:space="preserve">, 59(2), pp.118–122. </w:t>
      </w:r>
    </w:p>
    <w:p w14:paraId="3543F117" w14:textId="15150C3D" w:rsidR="004578CB" w:rsidRDefault="004578CB" w:rsidP="004578CB">
      <w:pPr>
        <w:pStyle w:val="ListParagraph"/>
        <w:numPr>
          <w:ilvl w:val="0"/>
          <w:numId w:val="1"/>
        </w:numPr>
      </w:pPr>
      <w:r w:rsidRPr="004578CB">
        <w:t>Leighton, J.L., You, D. and Schneider, P. (2020). Limiting Blood Loss in Orthopaedic Trauma: Strategies and Effects. Injury, 51, pp.S123–S127.</w:t>
      </w:r>
    </w:p>
    <w:p w14:paraId="50BE2EBB" w14:textId="77777777" w:rsidR="003F19A2" w:rsidRDefault="003F19A2"/>
    <w:sectPr w:rsidR="003F19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945F0C"/>
    <w:multiLevelType w:val="multilevel"/>
    <w:tmpl w:val="1618EA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121681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9B3"/>
    <w:rsid w:val="001B79B3"/>
    <w:rsid w:val="003F19A2"/>
    <w:rsid w:val="004578CB"/>
    <w:rsid w:val="00917619"/>
    <w:rsid w:val="00EC1D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649C"/>
  <w15:docId w15:val="{E8D0AF82-C1FD-D542-B295-8F9BCA732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B3"/>
    <w:pPr>
      <w:suppressAutoHyphens/>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9B3"/>
    <w:pPr>
      <w:ind w:left="720"/>
      <w:contextualSpacing/>
    </w:pPr>
  </w:style>
  <w:style w:type="paragraph" w:customStyle="1" w:styleId="calibri">
    <w:name w:val="calibri"/>
    <w:basedOn w:val="Normal"/>
    <w:rsid w:val="001B79B3"/>
    <w:pPr>
      <w:suppressAutoHyphens w:val="0"/>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1B79B3"/>
    <w:rPr>
      <w:b/>
      <w:bCs/>
    </w:rPr>
  </w:style>
  <w:style w:type="character" w:customStyle="1" w:styleId="calibri1">
    <w:name w:val="calibri1"/>
    <w:basedOn w:val="DefaultParagraphFont"/>
    <w:rsid w:val="001B79B3"/>
  </w:style>
  <w:style w:type="character" w:styleId="Emphasis">
    <w:name w:val="Emphasis"/>
    <w:basedOn w:val="DefaultParagraphFont"/>
    <w:uiPriority w:val="20"/>
    <w:qFormat/>
    <w:rsid w:val="001B79B3"/>
    <w:rPr>
      <w:i/>
      <w:iCs/>
    </w:rPr>
  </w:style>
  <w:style w:type="table" w:customStyle="1" w:styleId="GridTable4-Accent61">
    <w:name w:val="Grid Table 4 - Accent 61"/>
    <w:basedOn w:val="TableNormal"/>
    <w:uiPriority w:val="49"/>
    <w:rsid w:val="001B79B3"/>
    <w:pPr>
      <w:suppressAutoHyphens/>
      <w:spacing w:after="0" w:line="240" w:lineRule="auto"/>
    </w:pPr>
    <w:rPr>
      <w:sz w:val="24"/>
      <w:szCs w:val="24"/>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apple-converted-space">
    <w:name w:val="apple-converted-space"/>
    <w:basedOn w:val="DefaultParagraphFont"/>
    <w:rsid w:val="00457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9260">
      <w:bodyDiv w:val="1"/>
      <w:marLeft w:val="0"/>
      <w:marRight w:val="0"/>
      <w:marTop w:val="0"/>
      <w:marBottom w:val="0"/>
      <w:divBdr>
        <w:top w:val="none" w:sz="0" w:space="0" w:color="auto"/>
        <w:left w:val="none" w:sz="0" w:space="0" w:color="auto"/>
        <w:bottom w:val="none" w:sz="0" w:space="0" w:color="auto"/>
        <w:right w:val="none" w:sz="0" w:space="0" w:color="auto"/>
      </w:divBdr>
    </w:div>
    <w:div w:id="403646202">
      <w:bodyDiv w:val="1"/>
      <w:marLeft w:val="0"/>
      <w:marRight w:val="0"/>
      <w:marTop w:val="0"/>
      <w:marBottom w:val="0"/>
      <w:divBdr>
        <w:top w:val="none" w:sz="0" w:space="0" w:color="auto"/>
        <w:left w:val="none" w:sz="0" w:space="0" w:color="auto"/>
        <w:bottom w:val="none" w:sz="0" w:space="0" w:color="auto"/>
        <w:right w:val="none" w:sz="0" w:space="0" w:color="auto"/>
      </w:divBdr>
    </w:div>
    <w:div w:id="424620733">
      <w:bodyDiv w:val="1"/>
      <w:marLeft w:val="0"/>
      <w:marRight w:val="0"/>
      <w:marTop w:val="0"/>
      <w:marBottom w:val="0"/>
      <w:divBdr>
        <w:top w:val="none" w:sz="0" w:space="0" w:color="auto"/>
        <w:left w:val="none" w:sz="0" w:space="0" w:color="auto"/>
        <w:bottom w:val="none" w:sz="0" w:space="0" w:color="auto"/>
        <w:right w:val="none" w:sz="0" w:space="0" w:color="auto"/>
      </w:divBdr>
    </w:div>
    <w:div w:id="495268312">
      <w:bodyDiv w:val="1"/>
      <w:marLeft w:val="0"/>
      <w:marRight w:val="0"/>
      <w:marTop w:val="0"/>
      <w:marBottom w:val="0"/>
      <w:divBdr>
        <w:top w:val="none" w:sz="0" w:space="0" w:color="auto"/>
        <w:left w:val="none" w:sz="0" w:space="0" w:color="auto"/>
        <w:bottom w:val="none" w:sz="0" w:space="0" w:color="auto"/>
        <w:right w:val="none" w:sz="0" w:space="0" w:color="auto"/>
      </w:divBdr>
      <w:divsChild>
        <w:div w:id="2048796043">
          <w:marLeft w:val="0"/>
          <w:marRight w:val="0"/>
          <w:marTop w:val="0"/>
          <w:marBottom w:val="0"/>
          <w:divBdr>
            <w:top w:val="none" w:sz="0" w:space="0" w:color="auto"/>
            <w:left w:val="none" w:sz="0" w:space="0" w:color="auto"/>
            <w:bottom w:val="none" w:sz="0" w:space="0" w:color="auto"/>
            <w:right w:val="none" w:sz="0" w:space="0" w:color="auto"/>
          </w:divBdr>
        </w:div>
        <w:div w:id="1673482540">
          <w:marLeft w:val="0"/>
          <w:marRight w:val="0"/>
          <w:marTop w:val="0"/>
          <w:marBottom w:val="0"/>
          <w:divBdr>
            <w:top w:val="none" w:sz="0" w:space="0" w:color="auto"/>
            <w:left w:val="none" w:sz="0" w:space="0" w:color="auto"/>
            <w:bottom w:val="none" w:sz="0" w:space="0" w:color="auto"/>
            <w:right w:val="none" w:sz="0" w:space="0" w:color="auto"/>
          </w:divBdr>
          <w:divsChild>
            <w:div w:id="825171202">
              <w:marLeft w:val="0"/>
              <w:marRight w:val="0"/>
              <w:marTop w:val="0"/>
              <w:marBottom w:val="0"/>
              <w:divBdr>
                <w:top w:val="none" w:sz="0" w:space="0" w:color="auto"/>
                <w:left w:val="none" w:sz="0" w:space="0" w:color="auto"/>
                <w:bottom w:val="none" w:sz="0" w:space="0" w:color="auto"/>
                <w:right w:val="none" w:sz="0" w:space="0" w:color="auto"/>
              </w:divBdr>
              <w:divsChild>
                <w:div w:id="15342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55046">
          <w:marLeft w:val="0"/>
          <w:marRight w:val="0"/>
          <w:marTop w:val="0"/>
          <w:marBottom w:val="0"/>
          <w:divBdr>
            <w:top w:val="none" w:sz="0" w:space="0" w:color="auto"/>
            <w:left w:val="none" w:sz="0" w:space="0" w:color="auto"/>
            <w:bottom w:val="none" w:sz="0" w:space="0" w:color="auto"/>
            <w:right w:val="none" w:sz="0" w:space="0" w:color="auto"/>
          </w:divBdr>
          <w:divsChild>
            <w:div w:id="158273887">
              <w:marLeft w:val="0"/>
              <w:marRight w:val="0"/>
              <w:marTop w:val="0"/>
              <w:marBottom w:val="0"/>
              <w:divBdr>
                <w:top w:val="none" w:sz="0" w:space="0" w:color="auto"/>
                <w:left w:val="none" w:sz="0" w:space="0" w:color="auto"/>
                <w:bottom w:val="none" w:sz="0" w:space="0" w:color="auto"/>
                <w:right w:val="none" w:sz="0" w:space="0" w:color="auto"/>
              </w:divBdr>
              <w:divsChild>
                <w:div w:id="618224543">
                  <w:marLeft w:val="0"/>
                  <w:marRight w:val="0"/>
                  <w:marTop w:val="0"/>
                  <w:marBottom w:val="0"/>
                  <w:divBdr>
                    <w:top w:val="none" w:sz="0" w:space="0" w:color="auto"/>
                    <w:left w:val="none" w:sz="0" w:space="0" w:color="auto"/>
                    <w:bottom w:val="none" w:sz="0" w:space="0" w:color="auto"/>
                    <w:right w:val="none" w:sz="0" w:space="0" w:color="auto"/>
                  </w:divBdr>
                  <w:divsChild>
                    <w:div w:id="801965808">
                      <w:marLeft w:val="0"/>
                      <w:marRight w:val="0"/>
                      <w:marTop w:val="0"/>
                      <w:marBottom w:val="0"/>
                      <w:divBdr>
                        <w:top w:val="none" w:sz="0" w:space="0" w:color="auto"/>
                        <w:left w:val="none" w:sz="0" w:space="0" w:color="auto"/>
                        <w:bottom w:val="none" w:sz="0" w:space="0" w:color="auto"/>
                        <w:right w:val="none" w:sz="0" w:space="0" w:color="auto"/>
                      </w:divBdr>
                      <w:divsChild>
                        <w:div w:id="846603700">
                          <w:marLeft w:val="0"/>
                          <w:marRight w:val="0"/>
                          <w:marTop w:val="0"/>
                          <w:marBottom w:val="0"/>
                          <w:divBdr>
                            <w:top w:val="none" w:sz="0" w:space="0" w:color="auto"/>
                            <w:left w:val="none" w:sz="0" w:space="0" w:color="auto"/>
                            <w:bottom w:val="none" w:sz="0" w:space="0" w:color="auto"/>
                            <w:right w:val="none" w:sz="0" w:space="0" w:color="auto"/>
                          </w:divBdr>
                        </w:div>
                        <w:div w:id="672148604">
                          <w:marLeft w:val="0"/>
                          <w:marRight w:val="0"/>
                          <w:marTop w:val="0"/>
                          <w:marBottom w:val="0"/>
                          <w:divBdr>
                            <w:top w:val="none" w:sz="0" w:space="0" w:color="auto"/>
                            <w:left w:val="none" w:sz="0" w:space="0" w:color="auto"/>
                            <w:bottom w:val="none" w:sz="0" w:space="0" w:color="auto"/>
                            <w:right w:val="none" w:sz="0" w:space="0" w:color="auto"/>
                          </w:divBdr>
                          <w:divsChild>
                            <w:div w:id="7721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276131">
                  <w:marLeft w:val="0"/>
                  <w:marRight w:val="0"/>
                  <w:marTop w:val="0"/>
                  <w:marBottom w:val="0"/>
                  <w:divBdr>
                    <w:top w:val="none" w:sz="0" w:space="0" w:color="auto"/>
                    <w:left w:val="none" w:sz="0" w:space="0" w:color="auto"/>
                    <w:bottom w:val="none" w:sz="0" w:space="0" w:color="auto"/>
                    <w:right w:val="none" w:sz="0" w:space="0" w:color="auto"/>
                  </w:divBdr>
                  <w:divsChild>
                    <w:div w:id="1011701">
                      <w:marLeft w:val="0"/>
                      <w:marRight w:val="0"/>
                      <w:marTop w:val="0"/>
                      <w:marBottom w:val="0"/>
                      <w:divBdr>
                        <w:top w:val="none" w:sz="0" w:space="0" w:color="auto"/>
                        <w:left w:val="none" w:sz="0" w:space="0" w:color="auto"/>
                        <w:bottom w:val="none" w:sz="0" w:space="0" w:color="auto"/>
                        <w:right w:val="none" w:sz="0" w:space="0" w:color="auto"/>
                      </w:divBdr>
                      <w:divsChild>
                        <w:div w:id="368183466">
                          <w:marLeft w:val="0"/>
                          <w:marRight w:val="0"/>
                          <w:marTop w:val="0"/>
                          <w:marBottom w:val="0"/>
                          <w:divBdr>
                            <w:top w:val="none" w:sz="0" w:space="0" w:color="auto"/>
                            <w:left w:val="none" w:sz="0" w:space="0" w:color="auto"/>
                            <w:bottom w:val="none" w:sz="0" w:space="0" w:color="auto"/>
                            <w:right w:val="none" w:sz="0" w:space="0" w:color="auto"/>
                          </w:divBdr>
                        </w:div>
                        <w:div w:id="210769187">
                          <w:marLeft w:val="0"/>
                          <w:marRight w:val="0"/>
                          <w:marTop w:val="0"/>
                          <w:marBottom w:val="0"/>
                          <w:divBdr>
                            <w:top w:val="none" w:sz="0" w:space="0" w:color="auto"/>
                            <w:left w:val="none" w:sz="0" w:space="0" w:color="auto"/>
                            <w:bottom w:val="none" w:sz="0" w:space="0" w:color="auto"/>
                            <w:right w:val="none" w:sz="0" w:space="0" w:color="auto"/>
                          </w:divBdr>
                          <w:divsChild>
                            <w:div w:id="2027897948">
                              <w:marLeft w:val="0"/>
                              <w:marRight w:val="0"/>
                              <w:marTop w:val="0"/>
                              <w:marBottom w:val="0"/>
                              <w:divBdr>
                                <w:top w:val="none" w:sz="0" w:space="0" w:color="auto"/>
                                <w:left w:val="none" w:sz="0" w:space="0" w:color="auto"/>
                                <w:bottom w:val="none" w:sz="0" w:space="0" w:color="auto"/>
                                <w:right w:val="none" w:sz="0" w:space="0" w:color="auto"/>
                              </w:divBdr>
                            </w:div>
                            <w:div w:id="61526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63527">
                  <w:marLeft w:val="0"/>
                  <w:marRight w:val="0"/>
                  <w:marTop w:val="0"/>
                  <w:marBottom w:val="0"/>
                  <w:divBdr>
                    <w:top w:val="none" w:sz="0" w:space="0" w:color="auto"/>
                    <w:left w:val="none" w:sz="0" w:space="0" w:color="auto"/>
                    <w:bottom w:val="none" w:sz="0" w:space="0" w:color="auto"/>
                    <w:right w:val="none" w:sz="0" w:space="0" w:color="auto"/>
                  </w:divBdr>
                  <w:divsChild>
                    <w:div w:id="343015525">
                      <w:marLeft w:val="0"/>
                      <w:marRight w:val="0"/>
                      <w:marTop w:val="0"/>
                      <w:marBottom w:val="0"/>
                      <w:divBdr>
                        <w:top w:val="none" w:sz="0" w:space="0" w:color="auto"/>
                        <w:left w:val="none" w:sz="0" w:space="0" w:color="auto"/>
                        <w:bottom w:val="none" w:sz="0" w:space="0" w:color="auto"/>
                        <w:right w:val="none" w:sz="0" w:space="0" w:color="auto"/>
                      </w:divBdr>
                      <w:divsChild>
                        <w:div w:id="1262761248">
                          <w:marLeft w:val="0"/>
                          <w:marRight w:val="0"/>
                          <w:marTop w:val="0"/>
                          <w:marBottom w:val="0"/>
                          <w:divBdr>
                            <w:top w:val="none" w:sz="0" w:space="0" w:color="auto"/>
                            <w:left w:val="none" w:sz="0" w:space="0" w:color="auto"/>
                            <w:bottom w:val="none" w:sz="0" w:space="0" w:color="auto"/>
                            <w:right w:val="none" w:sz="0" w:space="0" w:color="auto"/>
                          </w:divBdr>
                        </w:div>
                        <w:div w:id="477646050">
                          <w:marLeft w:val="0"/>
                          <w:marRight w:val="0"/>
                          <w:marTop w:val="0"/>
                          <w:marBottom w:val="0"/>
                          <w:divBdr>
                            <w:top w:val="none" w:sz="0" w:space="0" w:color="auto"/>
                            <w:left w:val="none" w:sz="0" w:space="0" w:color="auto"/>
                            <w:bottom w:val="none" w:sz="0" w:space="0" w:color="auto"/>
                            <w:right w:val="none" w:sz="0" w:space="0" w:color="auto"/>
                          </w:divBdr>
                          <w:divsChild>
                            <w:div w:id="7626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52598">
                  <w:marLeft w:val="0"/>
                  <w:marRight w:val="0"/>
                  <w:marTop w:val="0"/>
                  <w:marBottom w:val="0"/>
                  <w:divBdr>
                    <w:top w:val="none" w:sz="0" w:space="0" w:color="auto"/>
                    <w:left w:val="none" w:sz="0" w:space="0" w:color="auto"/>
                    <w:bottom w:val="none" w:sz="0" w:space="0" w:color="auto"/>
                    <w:right w:val="none" w:sz="0" w:space="0" w:color="auto"/>
                  </w:divBdr>
                  <w:divsChild>
                    <w:div w:id="1754354848">
                      <w:marLeft w:val="0"/>
                      <w:marRight w:val="0"/>
                      <w:marTop w:val="0"/>
                      <w:marBottom w:val="0"/>
                      <w:divBdr>
                        <w:top w:val="none" w:sz="0" w:space="0" w:color="auto"/>
                        <w:left w:val="none" w:sz="0" w:space="0" w:color="auto"/>
                        <w:bottom w:val="none" w:sz="0" w:space="0" w:color="auto"/>
                        <w:right w:val="none" w:sz="0" w:space="0" w:color="auto"/>
                      </w:divBdr>
                      <w:divsChild>
                        <w:div w:id="1935432822">
                          <w:marLeft w:val="0"/>
                          <w:marRight w:val="0"/>
                          <w:marTop w:val="0"/>
                          <w:marBottom w:val="0"/>
                          <w:divBdr>
                            <w:top w:val="none" w:sz="0" w:space="0" w:color="auto"/>
                            <w:left w:val="none" w:sz="0" w:space="0" w:color="auto"/>
                            <w:bottom w:val="none" w:sz="0" w:space="0" w:color="auto"/>
                            <w:right w:val="none" w:sz="0" w:space="0" w:color="auto"/>
                          </w:divBdr>
                        </w:div>
                        <w:div w:id="1078404164">
                          <w:marLeft w:val="0"/>
                          <w:marRight w:val="0"/>
                          <w:marTop w:val="0"/>
                          <w:marBottom w:val="0"/>
                          <w:divBdr>
                            <w:top w:val="none" w:sz="0" w:space="0" w:color="auto"/>
                            <w:left w:val="none" w:sz="0" w:space="0" w:color="auto"/>
                            <w:bottom w:val="none" w:sz="0" w:space="0" w:color="auto"/>
                            <w:right w:val="none" w:sz="0" w:space="0" w:color="auto"/>
                          </w:divBdr>
                          <w:divsChild>
                            <w:div w:id="96439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21564">
                  <w:marLeft w:val="0"/>
                  <w:marRight w:val="0"/>
                  <w:marTop w:val="0"/>
                  <w:marBottom w:val="0"/>
                  <w:divBdr>
                    <w:top w:val="none" w:sz="0" w:space="0" w:color="auto"/>
                    <w:left w:val="none" w:sz="0" w:space="0" w:color="auto"/>
                    <w:bottom w:val="none" w:sz="0" w:space="0" w:color="auto"/>
                    <w:right w:val="none" w:sz="0" w:space="0" w:color="auto"/>
                  </w:divBdr>
                  <w:divsChild>
                    <w:div w:id="1552839866">
                      <w:marLeft w:val="0"/>
                      <w:marRight w:val="0"/>
                      <w:marTop w:val="0"/>
                      <w:marBottom w:val="0"/>
                      <w:divBdr>
                        <w:top w:val="none" w:sz="0" w:space="0" w:color="auto"/>
                        <w:left w:val="none" w:sz="0" w:space="0" w:color="auto"/>
                        <w:bottom w:val="none" w:sz="0" w:space="0" w:color="auto"/>
                        <w:right w:val="none" w:sz="0" w:space="0" w:color="auto"/>
                      </w:divBdr>
                      <w:divsChild>
                        <w:div w:id="691876915">
                          <w:marLeft w:val="0"/>
                          <w:marRight w:val="0"/>
                          <w:marTop w:val="0"/>
                          <w:marBottom w:val="0"/>
                          <w:divBdr>
                            <w:top w:val="none" w:sz="0" w:space="0" w:color="auto"/>
                            <w:left w:val="none" w:sz="0" w:space="0" w:color="auto"/>
                            <w:bottom w:val="none" w:sz="0" w:space="0" w:color="auto"/>
                            <w:right w:val="none" w:sz="0" w:space="0" w:color="auto"/>
                          </w:divBdr>
                        </w:div>
                        <w:div w:id="1304460619">
                          <w:marLeft w:val="0"/>
                          <w:marRight w:val="0"/>
                          <w:marTop w:val="0"/>
                          <w:marBottom w:val="0"/>
                          <w:divBdr>
                            <w:top w:val="none" w:sz="0" w:space="0" w:color="auto"/>
                            <w:left w:val="none" w:sz="0" w:space="0" w:color="auto"/>
                            <w:bottom w:val="none" w:sz="0" w:space="0" w:color="auto"/>
                            <w:right w:val="none" w:sz="0" w:space="0" w:color="auto"/>
                          </w:divBdr>
                          <w:divsChild>
                            <w:div w:id="26033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701313">
                  <w:marLeft w:val="0"/>
                  <w:marRight w:val="0"/>
                  <w:marTop w:val="0"/>
                  <w:marBottom w:val="0"/>
                  <w:divBdr>
                    <w:top w:val="none" w:sz="0" w:space="0" w:color="auto"/>
                    <w:left w:val="none" w:sz="0" w:space="0" w:color="auto"/>
                    <w:bottom w:val="none" w:sz="0" w:space="0" w:color="auto"/>
                    <w:right w:val="none" w:sz="0" w:space="0" w:color="auto"/>
                  </w:divBdr>
                  <w:divsChild>
                    <w:div w:id="650718394">
                      <w:marLeft w:val="0"/>
                      <w:marRight w:val="0"/>
                      <w:marTop w:val="0"/>
                      <w:marBottom w:val="0"/>
                      <w:divBdr>
                        <w:top w:val="none" w:sz="0" w:space="0" w:color="auto"/>
                        <w:left w:val="none" w:sz="0" w:space="0" w:color="auto"/>
                        <w:bottom w:val="none" w:sz="0" w:space="0" w:color="auto"/>
                        <w:right w:val="none" w:sz="0" w:space="0" w:color="auto"/>
                      </w:divBdr>
                      <w:divsChild>
                        <w:div w:id="1387098866">
                          <w:marLeft w:val="0"/>
                          <w:marRight w:val="0"/>
                          <w:marTop w:val="0"/>
                          <w:marBottom w:val="0"/>
                          <w:divBdr>
                            <w:top w:val="none" w:sz="0" w:space="0" w:color="auto"/>
                            <w:left w:val="none" w:sz="0" w:space="0" w:color="auto"/>
                            <w:bottom w:val="none" w:sz="0" w:space="0" w:color="auto"/>
                            <w:right w:val="none" w:sz="0" w:space="0" w:color="auto"/>
                          </w:divBdr>
                        </w:div>
                        <w:div w:id="1317874989">
                          <w:marLeft w:val="0"/>
                          <w:marRight w:val="0"/>
                          <w:marTop w:val="0"/>
                          <w:marBottom w:val="0"/>
                          <w:divBdr>
                            <w:top w:val="none" w:sz="0" w:space="0" w:color="auto"/>
                            <w:left w:val="none" w:sz="0" w:space="0" w:color="auto"/>
                            <w:bottom w:val="none" w:sz="0" w:space="0" w:color="auto"/>
                            <w:right w:val="none" w:sz="0" w:space="0" w:color="auto"/>
                          </w:divBdr>
                          <w:divsChild>
                            <w:div w:id="131899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747641">
                  <w:marLeft w:val="0"/>
                  <w:marRight w:val="0"/>
                  <w:marTop w:val="0"/>
                  <w:marBottom w:val="0"/>
                  <w:divBdr>
                    <w:top w:val="none" w:sz="0" w:space="0" w:color="auto"/>
                    <w:left w:val="none" w:sz="0" w:space="0" w:color="auto"/>
                    <w:bottom w:val="none" w:sz="0" w:space="0" w:color="auto"/>
                    <w:right w:val="none" w:sz="0" w:space="0" w:color="auto"/>
                  </w:divBdr>
                  <w:divsChild>
                    <w:div w:id="1873223844">
                      <w:marLeft w:val="0"/>
                      <w:marRight w:val="0"/>
                      <w:marTop w:val="0"/>
                      <w:marBottom w:val="0"/>
                      <w:divBdr>
                        <w:top w:val="none" w:sz="0" w:space="0" w:color="auto"/>
                        <w:left w:val="none" w:sz="0" w:space="0" w:color="auto"/>
                        <w:bottom w:val="none" w:sz="0" w:space="0" w:color="auto"/>
                        <w:right w:val="none" w:sz="0" w:space="0" w:color="auto"/>
                      </w:divBdr>
                      <w:divsChild>
                        <w:div w:id="76633176">
                          <w:marLeft w:val="0"/>
                          <w:marRight w:val="0"/>
                          <w:marTop w:val="0"/>
                          <w:marBottom w:val="0"/>
                          <w:divBdr>
                            <w:top w:val="none" w:sz="0" w:space="0" w:color="auto"/>
                            <w:left w:val="none" w:sz="0" w:space="0" w:color="auto"/>
                            <w:bottom w:val="none" w:sz="0" w:space="0" w:color="auto"/>
                            <w:right w:val="none" w:sz="0" w:space="0" w:color="auto"/>
                          </w:divBdr>
                        </w:div>
                        <w:div w:id="157044271">
                          <w:marLeft w:val="0"/>
                          <w:marRight w:val="0"/>
                          <w:marTop w:val="0"/>
                          <w:marBottom w:val="0"/>
                          <w:divBdr>
                            <w:top w:val="none" w:sz="0" w:space="0" w:color="auto"/>
                            <w:left w:val="none" w:sz="0" w:space="0" w:color="auto"/>
                            <w:bottom w:val="none" w:sz="0" w:space="0" w:color="auto"/>
                            <w:right w:val="none" w:sz="0" w:space="0" w:color="auto"/>
                          </w:divBdr>
                          <w:divsChild>
                            <w:div w:id="126538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135">
                  <w:marLeft w:val="0"/>
                  <w:marRight w:val="0"/>
                  <w:marTop w:val="0"/>
                  <w:marBottom w:val="0"/>
                  <w:divBdr>
                    <w:top w:val="none" w:sz="0" w:space="0" w:color="auto"/>
                    <w:left w:val="none" w:sz="0" w:space="0" w:color="auto"/>
                    <w:bottom w:val="none" w:sz="0" w:space="0" w:color="auto"/>
                    <w:right w:val="none" w:sz="0" w:space="0" w:color="auto"/>
                  </w:divBdr>
                  <w:divsChild>
                    <w:div w:id="458915172">
                      <w:marLeft w:val="0"/>
                      <w:marRight w:val="0"/>
                      <w:marTop w:val="0"/>
                      <w:marBottom w:val="0"/>
                      <w:divBdr>
                        <w:top w:val="none" w:sz="0" w:space="0" w:color="auto"/>
                        <w:left w:val="none" w:sz="0" w:space="0" w:color="auto"/>
                        <w:bottom w:val="none" w:sz="0" w:space="0" w:color="auto"/>
                        <w:right w:val="none" w:sz="0" w:space="0" w:color="auto"/>
                      </w:divBdr>
                      <w:divsChild>
                        <w:div w:id="332804316">
                          <w:marLeft w:val="0"/>
                          <w:marRight w:val="0"/>
                          <w:marTop w:val="0"/>
                          <w:marBottom w:val="0"/>
                          <w:divBdr>
                            <w:top w:val="none" w:sz="0" w:space="0" w:color="auto"/>
                            <w:left w:val="none" w:sz="0" w:space="0" w:color="auto"/>
                            <w:bottom w:val="none" w:sz="0" w:space="0" w:color="auto"/>
                            <w:right w:val="none" w:sz="0" w:space="0" w:color="auto"/>
                          </w:divBdr>
                        </w:div>
                        <w:div w:id="18436159">
                          <w:marLeft w:val="0"/>
                          <w:marRight w:val="0"/>
                          <w:marTop w:val="0"/>
                          <w:marBottom w:val="0"/>
                          <w:divBdr>
                            <w:top w:val="none" w:sz="0" w:space="0" w:color="auto"/>
                            <w:left w:val="none" w:sz="0" w:space="0" w:color="auto"/>
                            <w:bottom w:val="none" w:sz="0" w:space="0" w:color="auto"/>
                            <w:right w:val="none" w:sz="0" w:space="0" w:color="auto"/>
                          </w:divBdr>
                          <w:divsChild>
                            <w:div w:id="7255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012999">
                  <w:marLeft w:val="0"/>
                  <w:marRight w:val="0"/>
                  <w:marTop w:val="0"/>
                  <w:marBottom w:val="0"/>
                  <w:divBdr>
                    <w:top w:val="none" w:sz="0" w:space="0" w:color="auto"/>
                    <w:left w:val="none" w:sz="0" w:space="0" w:color="auto"/>
                    <w:bottom w:val="none" w:sz="0" w:space="0" w:color="auto"/>
                    <w:right w:val="none" w:sz="0" w:space="0" w:color="auto"/>
                  </w:divBdr>
                  <w:divsChild>
                    <w:div w:id="2056537434">
                      <w:marLeft w:val="0"/>
                      <w:marRight w:val="0"/>
                      <w:marTop w:val="0"/>
                      <w:marBottom w:val="0"/>
                      <w:divBdr>
                        <w:top w:val="none" w:sz="0" w:space="0" w:color="auto"/>
                        <w:left w:val="none" w:sz="0" w:space="0" w:color="auto"/>
                        <w:bottom w:val="none" w:sz="0" w:space="0" w:color="auto"/>
                        <w:right w:val="none" w:sz="0" w:space="0" w:color="auto"/>
                      </w:divBdr>
                      <w:divsChild>
                        <w:div w:id="1533688521">
                          <w:marLeft w:val="0"/>
                          <w:marRight w:val="0"/>
                          <w:marTop w:val="0"/>
                          <w:marBottom w:val="0"/>
                          <w:divBdr>
                            <w:top w:val="none" w:sz="0" w:space="0" w:color="auto"/>
                            <w:left w:val="none" w:sz="0" w:space="0" w:color="auto"/>
                            <w:bottom w:val="none" w:sz="0" w:space="0" w:color="auto"/>
                            <w:right w:val="none" w:sz="0" w:space="0" w:color="auto"/>
                          </w:divBdr>
                        </w:div>
                        <w:div w:id="94786369">
                          <w:marLeft w:val="0"/>
                          <w:marRight w:val="0"/>
                          <w:marTop w:val="0"/>
                          <w:marBottom w:val="0"/>
                          <w:divBdr>
                            <w:top w:val="none" w:sz="0" w:space="0" w:color="auto"/>
                            <w:left w:val="none" w:sz="0" w:space="0" w:color="auto"/>
                            <w:bottom w:val="none" w:sz="0" w:space="0" w:color="auto"/>
                            <w:right w:val="none" w:sz="0" w:space="0" w:color="auto"/>
                          </w:divBdr>
                          <w:divsChild>
                            <w:div w:id="152544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522680">
                  <w:marLeft w:val="0"/>
                  <w:marRight w:val="0"/>
                  <w:marTop w:val="0"/>
                  <w:marBottom w:val="0"/>
                  <w:divBdr>
                    <w:top w:val="none" w:sz="0" w:space="0" w:color="auto"/>
                    <w:left w:val="none" w:sz="0" w:space="0" w:color="auto"/>
                    <w:bottom w:val="none" w:sz="0" w:space="0" w:color="auto"/>
                    <w:right w:val="none" w:sz="0" w:space="0" w:color="auto"/>
                  </w:divBdr>
                  <w:divsChild>
                    <w:div w:id="1703821708">
                      <w:marLeft w:val="0"/>
                      <w:marRight w:val="0"/>
                      <w:marTop w:val="0"/>
                      <w:marBottom w:val="0"/>
                      <w:divBdr>
                        <w:top w:val="none" w:sz="0" w:space="0" w:color="auto"/>
                        <w:left w:val="none" w:sz="0" w:space="0" w:color="auto"/>
                        <w:bottom w:val="none" w:sz="0" w:space="0" w:color="auto"/>
                        <w:right w:val="none" w:sz="0" w:space="0" w:color="auto"/>
                      </w:divBdr>
                      <w:divsChild>
                        <w:div w:id="1920946123">
                          <w:marLeft w:val="0"/>
                          <w:marRight w:val="0"/>
                          <w:marTop w:val="0"/>
                          <w:marBottom w:val="0"/>
                          <w:divBdr>
                            <w:top w:val="none" w:sz="0" w:space="0" w:color="auto"/>
                            <w:left w:val="none" w:sz="0" w:space="0" w:color="auto"/>
                            <w:bottom w:val="none" w:sz="0" w:space="0" w:color="auto"/>
                            <w:right w:val="none" w:sz="0" w:space="0" w:color="auto"/>
                          </w:divBdr>
                        </w:div>
                        <w:div w:id="1398742988">
                          <w:marLeft w:val="0"/>
                          <w:marRight w:val="0"/>
                          <w:marTop w:val="0"/>
                          <w:marBottom w:val="0"/>
                          <w:divBdr>
                            <w:top w:val="none" w:sz="0" w:space="0" w:color="auto"/>
                            <w:left w:val="none" w:sz="0" w:space="0" w:color="auto"/>
                            <w:bottom w:val="none" w:sz="0" w:space="0" w:color="auto"/>
                            <w:right w:val="none" w:sz="0" w:space="0" w:color="auto"/>
                          </w:divBdr>
                          <w:divsChild>
                            <w:div w:id="86317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477065">
                  <w:marLeft w:val="0"/>
                  <w:marRight w:val="0"/>
                  <w:marTop w:val="0"/>
                  <w:marBottom w:val="0"/>
                  <w:divBdr>
                    <w:top w:val="none" w:sz="0" w:space="0" w:color="auto"/>
                    <w:left w:val="none" w:sz="0" w:space="0" w:color="auto"/>
                    <w:bottom w:val="none" w:sz="0" w:space="0" w:color="auto"/>
                    <w:right w:val="none" w:sz="0" w:space="0" w:color="auto"/>
                  </w:divBdr>
                  <w:divsChild>
                    <w:div w:id="569316160">
                      <w:marLeft w:val="0"/>
                      <w:marRight w:val="0"/>
                      <w:marTop w:val="0"/>
                      <w:marBottom w:val="0"/>
                      <w:divBdr>
                        <w:top w:val="none" w:sz="0" w:space="0" w:color="auto"/>
                        <w:left w:val="none" w:sz="0" w:space="0" w:color="auto"/>
                        <w:bottom w:val="none" w:sz="0" w:space="0" w:color="auto"/>
                        <w:right w:val="none" w:sz="0" w:space="0" w:color="auto"/>
                      </w:divBdr>
                      <w:divsChild>
                        <w:div w:id="1562594000">
                          <w:marLeft w:val="0"/>
                          <w:marRight w:val="0"/>
                          <w:marTop w:val="0"/>
                          <w:marBottom w:val="0"/>
                          <w:divBdr>
                            <w:top w:val="none" w:sz="0" w:space="0" w:color="auto"/>
                            <w:left w:val="none" w:sz="0" w:space="0" w:color="auto"/>
                            <w:bottom w:val="none" w:sz="0" w:space="0" w:color="auto"/>
                            <w:right w:val="none" w:sz="0" w:space="0" w:color="auto"/>
                          </w:divBdr>
                        </w:div>
                        <w:div w:id="1462960616">
                          <w:marLeft w:val="0"/>
                          <w:marRight w:val="0"/>
                          <w:marTop w:val="0"/>
                          <w:marBottom w:val="0"/>
                          <w:divBdr>
                            <w:top w:val="none" w:sz="0" w:space="0" w:color="auto"/>
                            <w:left w:val="none" w:sz="0" w:space="0" w:color="auto"/>
                            <w:bottom w:val="none" w:sz="0" w:space="0" w:color="auto"/>
                            <w:right w:val="none" w:sz="0" w:space="0" w:color="auto"/>
                          </w:divBdr>
                          <w:divsChild>
                            <w:div w:id="59371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18659">
          <w:marLeft w:val="0"/>
          <w:marRight w:val="0"/>
          <w:marTop w:val="0"/>
          <w:marBottom w:val="0"/>
          <w:divBdr>
            <w:top w:val="none" w:sz="0" w:space="0" w:color="auto"/>
            <w:left w:val="none" w:sz="0" w:space="0" w:color="auto"/>
            <w:bottom w:val="none" w:sz="0" w:space="0" w:color="auto"/>
            <w:right w:val="none" w:sz="0" w:space="0" w:color="auto"/>
          </w:divBdr>
          <w:divsChild>
            <w:div w:id="283928096">
              <w:marLeft w:val="0"/>
              <w:marRight w:val="0"/>
              <w:marTop w:val="0"/>
              <w:marBottom w:val="0"/>
              <w:divBdr>
                <w:top w:val="none" w:sz="0" w:space="0" w:color="auto"/>
                <w:left w:val="none" w:sz="0" w:space="0" w:color="auto"/>
                <w:bottom w:val="none" w:sz="0" w:space="0" w:color="auto"/>
                <w:right w:val="none" w:sz="0" w:space="0" w:color="auto"/>
              </w:divBdr>
              <w:divsChild>
                <w:div w:id="11216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19341">
          <w:marLeft w:val="0"/>
          <w:marRight w:val="0"/>
          <w:marTop w:val="0"/>
          <w:marBottom w:val="0"/>
          <w:divBdr>
            <w:top w:val="none" w:sz="0" w:space="0" w:color="auto"/>
            <w:left w:val="none" w:sz="0" w:space="0" w:color="auto"/>
            <w:bottom w:val="none" w:sz="0" w:space="0" w:color="auto"/>
            <w:right w:val="none" w:sz="0" w:space="0" w:color="auto"/>
          </w:divBdr>
          <w:divsChild>
            <w:div w:id="1385982676">
              <w:marLeft w:val="0"/>
              <w:marRight w:val="0"/>
              <w:marTop w:val="0"/>
              <w:marBottom w:val="0"/>
              <w:divBdr>
                <w:top w:val="none" w:sz="0" w:space="0" w:color="auto"/>
                <w:left w:val="none" w:sz="0" w:space="0" w:color="auto"/>
                <w:bottom w:val="none" w:sz="0" w:space="0" w:color="auto"/>
                <w:right w:val="none" w:sz="0" w:space="0" w:color="auto"/>
              </w:divBdr>
              <w:divsChild>
                <w:div w:id="121439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15989">
          <w:marLeft w:val="0"/>
          <w:marRight w:val="0"/>
          <w:marTop w:val="0"/>
          <w:marBottom w:val="0"/>
          <w:divBdr>
            <w:top w:val="none" w:sz="0" w:space="0" w:color="auto"/>
            <w:left w:val="none" w:sz="0" w:space="0" w:color="auto"/>
            <w:bottom w:val="none" w:sz="0" w:space="0" w:color="auto"/>
            <w:right w:val="none" w:sz="0" w:space="0" w:color="auto"/>
          </w:divBdr>
          <w:divsChild>
            <w:div w:id="1037395120">
              <w:marLeft w:val="0"/>
              <w:marRight w:val="0"/>
              <w:marTop w:val="0"/>
              <w:marBottom w:val="0"/>
              <w:divBdr>
                <w:top w:val="none" w:sz="0" w:space="0" w:color="auto"/>
                <w:left w:val="none" w:sz="0" w:space="0" w:color="auto"/>
                <w:bottom w:val="none" w:sz="0" w:space="0" w:color="auto"/>
                <w:right w:val="none" w:sz="0" w:space="0" w:color="auto"/>
              </w:divBdr>
              <w:divsChild>
                <w:div w:id="18612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56487">
          <w:marLeft w:val="0"/>
          <w:marRight w:val="0"/>
          <w:marTop w:val="0"/>
          <w:marBottom w:val="0"/>
          <w:divBdr>
            <w:top w:val="none" w:sz="0" w:space="0" w:color="auto"/>
            <w:left w:val="none" w:sz="0" w:space="0" w:color="auto"/>
            <w:bottom w:val="none" w:sz="0" w:space="0" w:color="auto"/>
            <w:right w:val="none" w:sz="0" w:space="0" w:color="auto"/>
          </w:divBdr>
          <w:divsChild>
            <w:div w:id="535893856">
              <w:marLeft w:val="0"/>
              <w:marRight w:val="0"/>
              <w:marTop w:val="0"/>
              <w:marBottom w:val="0"/>
              <w:divBdr>
                <w:top w:val="none" w:sz="0" w:space="0" w:color="auto"/>
                <w:left w:val="none" w:sz="0" w:space="0" w:color="auto"/>
                <w:bottom w:val="none" w:sz="0" w:space="0" w:color="auto"/>
                <w:right w:val="none" w:sz="0" w:space="0" w:color="auto"/>
              </w:divBdr>
              <w:divsChild>
                <w:div w:id="43117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96594">
      <w:bodyDiv w:val="1"/>
      <w:marLeft w:val="0"/>
      <w:marRight w:val="0"/>
      <w:marTop w:val="0"/>
      <w:marBottom w:val="0"/>
      <w:divBdr>
        <w:top w:val="none" w:sz="0" w:space="0" w:color="auto"/>
        <w:left w:val="none" w:sz="0" w:space="0" w:color="auto"/>
        <w:bottom w:val="none" w:sz="0" w:space="0" w:color="auto"/>
        <w:right w:val="none" w:sz="0" w:space="0" w:color="auto"/>
      </w:divBdr>
    </w:div>
    <w:div w:id="1322588315">
      <w:bodyDiv w:val="1"/>
      <w:marLeft w:val="0"/>
      <w:marRight w:val="0"/>
      <w:marTop w:val="0"/>
      <w:marBottom w:val="0"/>
      <w:divBdr>
        <w:top w:val="none" w:sz="0" w:space="0" w:color="auto"/>
        <w:left w:val="none" w:sz="0" w:space="0" w:color="auto"/>
        <w:bottom w:val="none" w:sz="0" w:space="0" w:color="auto"/>
        <w:right w:val="none" w:sz="0" w:space="0" w:color="auto"/>
      </w:divBdr>
    </w:div>
    <w:div w:id="1426800147">
      <w:bodyDiv w:val="1"/>
      <w:marLeft w:val="0"/>
      <w:marRight w:val="0"/>
      <w:marTop w:val="0"/>
      <w:marBottom w:val="0"/>
      <w:divBdr>
        <w:top w:val="none" w:sz="0" w:space="0" w:color="auto"/>
        <w:left w:val="none" w:sz="0" w:space="0" w:color="auto"/>
        <w:bottom w:val="none" w:sz="0" w:space="0" w:color="auto"/>
        <w:right w:val="none" w:sz="0" w:space="0" w:color="auto"/>
      </w:divBdr>
    </w:div>
    <w:div w:id="1585843030">
      <w:bodyDiv w:val="1"/>
      <w:marLeft w:val="0"/>
      <w:marRight w:val="0"/>
      <w:marTop w:val="0"/>
      <w:marBottom w:val="0"/>
      <w:divBdr>
        <w:top w:val="none" w:sz="0" w:space="0" w:color="auto"/>
        <w:left w:val="none" w:sz="0" w:space="0" w:color="auto"/>
        <w:bottom w:val="none" w:sz="0" w:space="0" w:color="auto"/>
        <w:right w:val="none" w:sz="0" w:space="0" w:color="auto"/>
      </w:divBdr>
    </w:div>
    <w:div w:id="1622107429">
      <w:bodyDiv w:val="1"/>
      <w:marLeft w:val="0"/>
      <w:marRight w:val="0"/>
      <w:marTop w:val="0"/>
      <w:marBottom w:val="0"/>
      <w:divBdr>
        <w:top w:val="none" w:sz="0" w:space="0" w:color="auto"/>
        <w:left w:val="none" w:sz="0" w:space="0" w:color="auto"/>
        <w:bottom w:val="none" w:sz="0" w:space="0" w:color="auto"/>
        <w:right w:val="none" w:sz="0" w:space="0" w:color="auto"/>
      </w:divBdr>
    </w:div>
    <w:div w:id="1682465518">
      <w:bodyDiv w:val="1"/>
      <w:marLeft w:val="0"/>
      <w:marRight w:val="0"/>
      <w:marTop w:val="0"/>
      <w:marBottom w:val="0"/>
      <w:divBdr>
        <w:top w:val="none" w:sz="0" w:space="0" w:color="auto"/>
        <w:left w:val="none" w:sz="0" w:space="0" w:color="auto"/>
        <w:bottom w:val="none" w:sz="0" w:space="0" w:color="auto"/>
        <w:right w:val="none" w:sz="0" w:space="0" w:color="auto"/>
      </w:divBdr>
    </w:div>
    <w:div w:id="186589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4594</TotalTime>
  <Pages>1</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UHS</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E5,</dc:creator>
  <cp:lastModifiedBy>ADEL MAHMOUD</cp:lastModifiedBy>
  <cp:revision>3</cp:revision>
  <dcterms:created xsi:type="dcterms:W3CDTF">2021-09-08T14:04:00Z</dcterms:created>
  <dcterms:modified xsi:type="dcterms:W3CDTF">2022-07-13T18:47:00Z</dcterms:modified>
</cp:coreProperties>
</file>