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56A6E" w14:textId="77777777" w:rsidR="00E0015A" w:rsidRDefault="00E0015A" w:rsidP="00371D10">
      <w:pPr>
        <w:spacing w:after="0" w:line="480" w:lineRule="auto"/>
        <w:rPr>
          <w:rFonts w:ascii="Times New Roman" w:hAnsi="Times New Roman" w:cs="Times New Roman"/>
          <w:b/>
          <w:sz w:val="24"/>
          <w:szCs w:val="24"/>
        </w:rPr>
      </w:pPr>
    </w:p>
    <w:p w14:paraId="520DA154" w14:textId="77777777" w:rsidR="00CD383F" w:rsidRPr="003B39CE" w:rsidRDefault="00CD383F" w:rsidP="003B39CE">
      <w:pPr>
        <w:pStyle w:val="NoSpacing"/>
        <w:rPr>
          <w:b/>
          <w:bCs/>
          <w:sz w:val="40"/>
          <w:szCs w:val="40"/>
        </w:rPr>
      </w:pPr>
      <w:r w:rsidRPr="003B39CE">
        <w:rPr>
          <w:b/>
          <w:bCs/>
          <w:sz w:val="40"/>
          <w:szCs w:val="40"/>
        </w:rPr>
        <w:t>Outcomes of laparoscopic cholecystectomy of obese vs. non-obese patients: a regional hospital perspective</w:t>
      </w:r>
    </w:p>
    <w:p w14:paraId="3DFE5C91" w14:textId="77777777" w:rsidR="003B39CE" w:rsidRDefault="003B39CE" w:rsidP="003B39CE">
      <w:pPr>
        <w:pStyle w:val="NoSpacing"/>
        <w:rPr>
          <w:rFonts w:ascii="Calibri" w:eastAsia="Times New Roman" w:hAnsi="Calibri" w:cs="Calibri"/>
          <w:color w:val="000000"/>
          <w:sz w:val="24"/>
          <w:szCs w:val="24"/>
          <w:lang w:eastAsia="en-AU"/>
        </w:rPr>
      </w:pPr>
    </w:p>
    <w:p w14:paraId="30DDB590" w14:textId="7B6E931B" w:rsidR="003B39CE" w:rsidRDefault="003B39CE" w:rsidP="003B39CE">
      <w:pPr>
        <w:pStyle w:val="NoSpacing"/>
        <w:rPr>
          <w:rFonts w:ascii="Calibri" w:eastAsia="Times New Roman" w:hAnsi="Calibri" w:cs="Calibri"/>
          <w:color w:val="000000"/>
          <w:sz w:val="24"/>
          <w:szCs w:val="24"/>
          <w:lang w:eastAsia="en-AU"/>
        </w:rPr>
      </w:pPr>
      <w:r>
        <w:rPr>
          <w:rFonts w:ascii="Calibri" w:eastAsia="Times New Roman" w:hAnsi="Calibri" w:cs="Calibri"/>
          <w:color w:val="000000"/>
          <w:sz w:val="24"/>
          <w:szCs w:val="24"/>
          <w:lang w:eastAsia="en-AU"/>
        </w:rPr>
        <w:t>Authors</w:t>
      </w:r>
    </w:p>
    <w:p w14:paraId="7935F818" w14:textId="6231F054" w:rsidR="003B39CE" w:rsidRDefault="003B39CE" w:rsidP="003B39CE">
      <w:pPr>
        <w:pStyle w:val="NoSpacing"/>
        <w:rPr>
          <w:rFonts w:ascii="Calibri" w:eastAsia="Times New Roman" w:hAnsi="Calibri" w:cs="Calibri"/>
          <w:color w:val="000000"/>
          <w:sz w:val="24"/>
          <w:szCs w:val="24"/>
          <w:lang w:eastAsia="en-AU"/>
        </w:rPr>
      </w:pPr>
      <w:r>
        <w:rPr>
          <w:rFonts w:ascii="Calibri" w:eastAsia="Times New Roman" w:hAnsi="Calibri" w:cs="Calibri"/>
          <w:color w:val="000000"/>
          <w:sz w:val="24"/>
          <w:szCs w:val="24"/>
          <w:lang w:eastAsia="en-AU"/>
        </w:rPr>
        <w:t>Dr Timothy Peacock</w:t>
      </w:r>
    </w:p>
    <w:p w14:paraId="267BA17D" w14:textId="77777777" w:rsidR="003B39CE" w:rsidRDefault="003B39CE" w:rsidP="003B39CE">
      <w:pPr>
        <w:pStyle w:val="NoSpacing"/>
        <w:rPr>
          <w:rFonts w:ascii="Calibri" w:eastAsia="Times New Roman" w:hAnsi="Calibri" w:cs="Calibri"/>
          <w:color w:val="000000"/>
          <w:sz w:val="24"/>
          <w:szCs w:val="24"/>
          <w:lang w:eastAsia="en-AU"/>
        </w:rPr>
      </w:pPr>
      <w:r>
        <w:rPr>
          <w:rFonts w:ascii="Calibri" w:eastAsia="Times New Roman" w:hAnsi="Calibri" w:cs="Calibri"/>
          <w:color w:val="000000"/>
          <w:sz w:val="24"/>
          <w:szCs w:val="24"/>
          <w:lang w:eastAsia="en-AU"/>
        </w:rPr>
        <w:t xml:space="preserve">Liverpool Hospital, NSW, Australia.  </w:t>
      </w:r>
    </w:p>
    <w:p w14:paraId="39FE40AD" w14:textId="77777777" w:rsidR="00E0015A" w:rsidRDefault="00E0015A" w:rsidP="003B39CE">
      <w:pPr>
        <w:pStyle w:val="NoSpacing"/>
        <w:rPr>
          <w:rFonts w:ascii="Times New Roman" w:hAnsi="Times New Roman" w:cs="Times New Roman"/>
          <w:sz w:val="24"/>
          <w:szCs w:val="24"/>
        </w:rPr>
      </w:pPr>
    </w:p>
    <w:p w14:paraId="28A20E2C" w14:textId="62CB5382" w:rsidR="00371D10" w:rsidRPr="003B39CE" w:rsidRDefault="00E0015A" w:rsidP="003B39CE">
      <w:pPr>
        <w:pStyle w:val="NoSpacing"/>
        <w:rPr>
          <w:rFonts w:ascii="Times New Roman" w:hAnsi="Times New Roman" w:cs="Times New Roman"/>
          <w:b/>
          <w:bCs/>
          <w:sz w:val="24"/>
          <w:szCs w:val="24"/>
        </w:rPr>
      </w:pPr>
      <w:r w:rsidRPr="003B39CE">
        <w:rPr>
          <w:rFonts w:ascii="Times New Roman" w:hAnsi="Times New Roman" w:cs="Times New Roman"/>
          <w:b/>
          <w:bCs/>
          <w:sz w:val="24"/>
          <w:szCs w:val="24"/>
        </w:rPr>
        <w:t>Purpose of study</w:t>
      </w:r>
    </w:p>
    <w:p w14:paraId="6C068606" w14:textId="0C4C934C" w:rsidR="00371D10" w:rsidRPr="00FF238E" w:rsidRDefault="00371D10" w:rsidP="003B39CE">
      <w:pPr>
        <w:pStyle w:val="NoSpacing"/>
        <w:rPr>
          <w:rFonts w:ascii="Times New Roman" w:hAnsi="Times New Roman" w:cs="Times New Roman"/>
          <w:sz w:val="24"/>
          <w:szCs w:val="24"/>
        </w:rPr>
      </w:pPr>
      <w:r w:rsidRPr="00FF238E">
        <w:rPr>
          <w:rFonts w:ascii="Times New Roman" w:hAnsi="Times New Roman" w:cs="Times New Roman"/>
          <w:sz w:val="24"/>
          <w:szCs w:val="24"/>
        </w:rPr>
        <w:t xml:space="preserve">Laparoscopic cholecystectomy is the gold standard for treatment of cholecystitis.  The literature regarding whether obesity is an independent risk factor for complications following laparoscopic cholecystectomy is controversial with some studies suggesting it to be a surgical risk factor </w:t>
      </w:r>
      <w:r w:rsidRPr="00FF238E">
        <w:rPr>
          <w:rFonts w:ascii="Times New Roman" w:hAnsi="Times New Roman" w:cs="Times New Roman"/>
        </w:rPr>
        <w:fldChar w:fldCharType="begin" w:fldLock="1"/>
      </w:r>
      <w:r w:rsidR="00E0015A">
        <w:rPr>
          <w:rFonts w:ascii="Times New Roman" w:hAnsi="Times New Roman" w:cs="Times New Roman"/>
        </w:rPr>
        <w:instrText>ADDIN CSL_CITATION {"citationItems":[{"id":"ITEM-1","itemData":{"DOI":"10.1007/s004640000019","ISSN":"1432-2218","PMID":"11727146","abstract":"BACKGROUND: Morbid obesity is generally regarded as a risk factor for laparoscopic cholecystectomy due to increases in operative time, morbidity, and conversion rate to open cholecystectomy. The aim of this study was to evaluate the feasibility and outcome of laparoscopic cholecystectomy (LC) in morbidly obese patients.\n\nMETHODS: A total of 864 consecutive patients underwent LC at our institution between 1990 and 1997. This series represents a continuing policy of LC for all comers. Data were collected prospectively. There were 659 nonobese (NO: BMI 40 kg/m2). Laparoscopic bile duct exploration was performed in 28 (4.2%), nine (4.8%), and one (5.9%) patients, respectively.\n\nRESULTS: Obesity and morbid obesity were associated with trends toward an increased conversion rate (2.3% NO; 4.3% OB; 5.9% MO), a longer operative time (median, 80, 85, and 107 mins, respectively), greater postoperative morbidity (4.7%, 5.9%, and 11.8%, respectively), and a reduced ability to obtain cholangiography (86.1%, 80.1%, and 71.4%, respectively). None of these differences, however, were statistically significant (c2 test, p &gt; 0.05). Postoperative hospital stay for LC was similar for all three groups (median, 1 day).\n\nCONCLUSION: LC in morbidly obese patients is a safe procedure, but it may be associated with increased operative difficulty and morbidity, as compared with nonobese and obese patients.","author":[{"dropping-particle":"","family":"Ammori","given":"B J","non-dropping-particle":"","parse-names":false,"suffix":""},{"dropping-particle":"","family":"Vezakis","given":"a","non-dropping-particle":"","parse-names":false,"suffix":""},{"dropping-particle":"","family":"Davides","given":"D","non-dropping-particle":"","parse-names":false,"suffix":""},{"dropping-particle":"","family":"Martin","given":"I G","non-dropping-particle":"","parse-names":false,"suffix":""},{"dropping-particle":"","family":"Larvin","given":"M","non-dropping-particle":"","parse-names":false,"suffix":""},{"dropping-particle":"","family":"McMahon","given":"M J","non-dropping-particle":"","parse-names":false,"suffix":""}],"container-title":"Surgical endoscopy","id":"ITEM-1","issue":"11","issued":{"date-parts":[["2001","11"]]},"page":"1336-9","title":"Laparoscopic cholecystectomy in morbidly obese patients.","type":"article-journal","volume":"15"},"uris":["http://www.mendeley.com/documents/?uuid=598e9291-83f3-477a-a678-f08afaf8965d"]},{"id":"ITEM-2","itemData":{"DOI":"10.1007/s00464-012-2189-4","ISSN":"1432-2218","PMID":"22398961","abstract":"BACKGROUND: Risk factors for conversion in cholecystectomy may be of clinical value. This study aimed to investigate whether a set of risk factors, including the surgeon's specialization, can be used for the development of a preoperative strategy to optimize conversion outcome.\n\nMETHODS: The data for all patients who underwent laparoscopic cholecystectomy at a single institution between January 2004 and December 2008 were retrospectively reviewed. Factors predictive for conversion were identified, and a preoperative strategy model was deduced.\n\nRESULTS: Of the 1,126 patients analyzed, 106 (9%) underwent laparoscopic cholecystectomy in an emergency setting. Delayed surgery was performed for 63 (46%) of 138 patients (12%) with acute cholecystitis. Preoperative endoscopic retrograde cholangiography was achieved for 161 of the patients (14%). Risk factors predictive of conversion (for 65 patients) were male gender [odds ratio (OR), 2.3; 95% confidence interval (CI), 1.3-3.9; p = 0.004], age older than 65 years (OR, 2.6; 95% CI, 1.4-4.8; p = 0.002), body mass index (BMI) exceeding 25 kg/m(2) (OR, 3.4; 95% CI, 1.7-7.1; p &lt; 0.001), history of complicated biliary disease (HCBD) (OR, 5.6; 95% CI, 3.2-9.8; p = &lt; 0.001), and surgery by a non-gastrointestinal (non-GI) surgeon (OR, 4.9; 95% CI, 2.2-10.6; p &lt; 0.001). The conversion rate for patients with a history of no complications who had two or more risk factors (gender, age, BMI &gt; 25) and for patients with a HCBD who had one or more risk factors was significantly higher if the surgery was performed by non-GI rather than GI surgeons.\n\nCONCLUSION: Male gender, age older than 65 years, BMI exceeding 25 kg/m(2), HCBD, and surgery by a non-GI surgeon are predictive for conversion. A preoperative triage for surgeon selection based on risk factors and a HCBD is proposed to optimize conversion outcome.","author":[{"dropping-particle":"","family":"Donkervoort","given":"Sandra C","non-dropping-particle":"","parse-names":false,"suffix":""},{"dropping-particle":"","family":"Dijksman","given":"Lea M","non-dropping-particle":"","parse-names":false,"suffix":""},{"dropping-particle":"","family":"Nes","given":"Lincey C F","non-dropping-particle":"de","parse-names":false,"suffix":""},{"dropping-particle":"","family":"Versluis","given":"Pieter G","non-dropping-particle":"","parse-names":false,"suffix":""},{"dropping-particle":"","family":"Derksen","given":"Joris","non-dropping-particle":"","parse-names":false,"suffix":""},{"dropping-particle":"","family":"Gerhards","given":"Michael F","non-dropping-particle":"","parse-names":false,"suffix":""}],"container-title":"Surgical endoscopy","id":"ITEM-2","issue":"8","issued":{"date-parts":[["2012","8"]]},"page":"2360-6","title":"Outcome of laparoscopic cholecystectomy conversion: is the surgeon's selection needed?","type":"article-journal","volume":"26"},"uris":["http://www.mendeley.com/documents/?uuid=3601e560-26c4-4f3f-af0a-ee054afbd6df"]},{"id":"ITEM-3","itemData":{"DOI":"10.1016/j.jamcollsurg.2006.07.018","ISSN":"1072-7515","PMID":"17084335","abstract":"BACKGROUND: Reliable risk factors for perioperative complications in patients undergoing laparoscopic cholecystectomy would be extremely useful to optimize the clinical management. This study aimed to determine risk factors that can be used for predicting perioperative complications.\n\nSTUDY DESIGN: Possible risk factors for perioperative complications in patients undergoing laparoscopic cholecystectomy for acute and chronic cholecystitis were analyzed by a stepwise logistic regression model using data from the Swiss Association of Laparoscopic and Thoracoscopic Surgery (SALTS) database.\n\nRESULTS: A total of 22,953 patients with a mean (+/-SD) age of 54.5+/-16.1 years (range 17 to 89 years) and a male-to-female ratio of 1:2, underwent elective (85%) and emergency (15%) laparoscopic cholecystectomy. Multivariable analysis showed that male gender (odds ratio [OR]=1.16; p&lt;0.0001), duration of intervention (OR=1.68 per 30 minutes; p&lt;0.0001), body weight (&gt;90 kg versus&lt;60 kg; OR=1.34; p&lt;0.0001), and the surgeon's own experience (&gt;100 versus 11 to 100 interventions; OR=1.36; p&lt;0.0002) were independently associated with an increased intraoperative local complication rate. In addition, male gender (OR=1.21; p&lt;0.02), age (OR=1.12 per 10 years; p&lt;0.0001), intraoperative complications (OR=2.1; p&lt;0.0001), conversion to open surgery (OR=1.25; p&lt;0.01), American Society of Anesthesiologists risk score (ASA score III/IV versus I/II: OR=1.28; p&lt;0.0005), body weight (&lt;60 kg versus&gt;90 kg; OR=1.53; p&lt;0.007), emergency surgery (OR=1.36; p&lt;0.003), and duration of surgery (OR=1.28 per 30 minutes; p&lt;0.0001) were found to be associated with a higher incidence of postoperative local complications. Higher postoperative systemic complications were encountered with conversion (OR=1.5; p&lt;0.0002), ASA score (III/IV versus I/II: OR=1.54; p&lt;0.0001), emergency surgery (OR=1.41; p&lt;0.001), and a prolonged intervention time (OR=1.16 per 30 minutes; p&lt;0.0001).\n\nCONCLUSIONS: For patients undergoing laparoscopic cholecystectomy (LC), the risk of possible perioperative complications can be estimated based on patient characteristics (gender, age, ASA score, body weight), clinical findings (acute versus chronic cholecystitis), and the surgeon's own clinical practice with LC. So in the likelihood of a case being a \"difficult cholecystectomy,\" an experienced surgeon should be involved both in the decision-making process and during the operation. If LC lasts longer than 2 hours, the cumulative risk …","author":[{"dropping-particle":"","family":"Giger","given":"Urs F","non-dropping-particle":"","parse-names":false,"suffix":""},{"dropping-particle":"","family":"Michel","given":"Jean-Marie","non-dropping-particle":"","parse-names":false,"suffix":""},{"dropping-particle":"","family":"Opitz","given":"Isabelle","non-dropping-particle":"","parse-names":false,"suffix":""},{"dropping-particle":"","family":"Th Inderbitzin","given":"Devdas","non-dropping-particle":"","parse-names":false,"suffix":""},{"dropping-particle":"","family":"Kocher","given":"Thomas","non-dropping-particle":"","parse-names":false,"suffix":""},{"dropping-particle":"","family":"Krähenbühl","given":"Lukas","non-dropping-particle":"","parse-names":false,"suffix":""}],"container-title":"Journal of the American College of Surgeons","id":"ITEM-3","issue":"5","issued":{"date-parts":[["2006","11"]]},"page":"723-8","title":"Risk factors for perioperative complications in patients undergoing laparoscopic cholecystectomy: analysis of 22,953 consecutive cases from the Swiss Association of Laparoscopic and Thoracoscopic Surgery database.","type":"article-journal","volume":"203"},"uris":["http://www.mendeley.com/documents/?uuid=c3d8c844-8b1e-4565-9337-598cf0368b00"]},{"id":"ITEM-4","itemData":{"DOI":"10.1089/lap.2009.0457","ISSN":"1557-9034","PMID":"20518694","abstract":"BACKGROUND: Laparoscopic cholecystectomy (LC) has become the standard surgical procedure for symptomatic gallbladder disease. The aim of this study was to identify factors that may be predictive of cases that would require a conversion to laparotomy.\n\nMETHODS: In the period of 2002-2007, 2015 patients who underwent elective LC were included in the study. Patients were divided into two groups. Group 1 (n = 1914) consisted of patients whose operation was successfully completed with LC. Group 2 (n = 101) consisted of patients who had a conversion. A prospective analysis of parameters, including patient demographics, laboratory values, radiologic data, and intraoperative findings, was performed. Multivariate stepwise logistic regression was used to determine those variables predicting conversion.\n\nRESULTS: One-hundred and one (5.0%) patients required a conversion. Significant predictors of conversion to open cholecystectomy in univariate analysis were increasing age, male gender, previous upper abdominal or upper plus lower abdominal incisions, an elevated white blood cell count, high aspartate transaminase, alkaline phosphatase and total bilirubin levels, preoperative ultrasound findings of a thickened gallbladder wall and dilated common bile duct, preoperative endoscopic retrograde cholangiopancreatography (ERCP), high-grade adhesion, and scleroatrophic appearance of the gallbladder intraoperatively. Multivariate analysis revealed that a history of previous abdominal surgery, preoperative ERCP, high-grade adhesion, and scleroatrophic appearance of the gallbladder predicted conversion.\n\nCONCLUSIONS: Patient selection is very important for efficient, safe training in LC. Based on the presented data, pathways could be suggested that enable the surgeon to precisely decide, during LC, when to convert to open surgery.","author":[{"dropping-particle":"","family":"Ercan","given":"Metin","non-dropping-particle":"","parse-names":false,"suffix":""},{"dropping-particle":"","family":"Bostanci","given":"E Birol","non-dropping-particle":"","parse-names":false,"suffix":""},{"dropping-particle":"","family":"Teke","given":"Zafer","non-dropping-particle":"","parse-names":false,"suffix":""},{"dropping-particle":"","family":"Karaman","given":"Kerem","non-dropping-particle":"","parse-names":false,"suffix":""},{"dropping-particle":"","family":"Dalgic","given":"Tahsin","non-dropping-particle":"","parse-names":false,"suffix":""},{"dropping-particle":"","family":"Ulas","given":"Murat","non-dropping-particle":"","parse-names":false,"suffix":""},{"dropping-particle":"","family":"Ozer","given":"Ilter","non-dropping-particle":"","parse-names":false,"suffix":""},{"dropping-particle":"","family":"Ozogul","given":"Yusuf B","non-dropping-particle":"","parse-names":false,"suffix":""},{"dropping-particle":"","family":"Atalay","given":"Fuat","non-dropping-particle":"","parse-names":false,"suffix":""},{"dropping-particle":"","family":"Akoglu","given":"Musa","non-dropping-particle":"","parse-names":false,"suffix":""}],"container-title":"Journal of laparoendoscopic &amp; advanced surgical techniques. Part A","id":"ITEM-4","issue":"5","issued":{"date-parts":[["2010","6"]]},"page":"427-34","title":"Predictive factors for conversion to open surgery in patients undergoing elective laparoscopic cholecystectomy.","type":"article-journal","volume":"20"},"uris":["http://www.mendeley.com/documents/?uuid=8108f70c-fffc-4005-8354-33ed85ff5534"]}],"mendeley":{"formattedCitation":"&lt;sup&gt;1–4&lt;/sup&gt;","plainTextFormattedCitation":"1–4","previouslyFormattedCitation":"(Ammori et al., 2001; Donkervoort et al., 2012; Ercan et al., 2010; Giger et al., 2006)"},"properties":{"noteIndex":0},"schema":"https://github.com/citation-style-language/schema/raw/master/csl-citation.json"}</w:instrText>
      </w:r>
      <w:r w:rsidRPr="00FF238E">
        <w:rPr>
          <w:rFonts w:ascii="Times New Roman" w:hAnsi="Times New Roman" w:cs="Times New Roman"/>
        </w:rPr>
        <w:fldChar w:fldCharType="separate"/>
      </w:r>
      <w:bookmarkStart w:id="0" w:name="__Fieldmark__106_362685557"/>
      <w:bookmarkStart w:id="1" w:name="__Fieldmark__25_1979141823"/>
      <w:bookmarkStart w:id="2" w:name="__Fieldmark__32_440402885"/>
      <w:r w:rsidR="00E0015A" w:rsidRPr="00E0015A">
        <w:rPr>
          <w:rFonts w:ascii="Times New Roman" w:hAnsi="Times New Roman" w:cs="Times New Roman"/>
          <w:noProof/>
          <w:sz w:val="24"/>
          <w:szCs w:val="24"/>
          <w:vertAlign w:val="superscript"/>
        </w:rPr>
        <w:t>1–4</w:t>
      </w:r>
      <w:r w:rsidRPr="00FF238E">
        <w:rPr>
          <w:rFonts w:ascii="Times New Roman" w:hAnsi="Times New Roman" w:cs="Times New Roman"/>
        </w:rPr>
        <w:fldChar w:fldCharType="end"/>
      </w:r>
      <w:bookmarkEnd w:id="0"/>
      <w:bookmarkEnd w:id="1"/>
      <w:bookmarkEnd w:id="2"/>
      <w:r w:rsidRPr="00FF238E">
        <w:rPr>
          <w:rFonts w:ascii="Times New Roman" w:hAnsi="Times New Roman" w:cs="Times New Roman"/>
          <w:sz w:val="24"/>
          <w:szCs w:val="24"/>
        </w:rPr>
        <w:t xml:space="preserve">, whilst others are less clear </w:t>
      </w:r>
      <w:r w:rsidRPr="00FF238E">
        <w:rPr>
          <w:rFonts w:ascii="Times New Roman" w:hAnsi="Times New Roman" w:cs="Times New Roman"/>
        </w:rPr>
        <w:fldChar w:fldCharType="begin" w:fldLock="1"/>
      </w:r>
      <w:r w:rsidR="00E0015A">
        <w:rPr>
          <w:rFonts w:ascii="Times New Roman" w:hAnsi="Times New Roman" w:cs="Times New Roman"/>
        </w:rPr>
        <w:instrText>ADDIN CSL_CITATION {"citationItems":[{"id":"ITEM-1","itemData":{"DOI":"10.1016/j.jss.2014.02.014","ISSN":"1095-8673","PMID":"24636101","abstract":"BACKGROUND: Obesity has historically been a positive predictor of surgical morbidity, especially in the morbidly obese. The purpose of our study was to compare outcomes of obese patients undergoing laparoscopic cholecystectomy (LC).\n\nMETHODS: We reviewed 1382 consecutive patients retrospectively who underwent LC for various pathologies from January 2008 to August 2011. Patients were stratified based on the World Health Organization definitions of obesity: nonobese (body mass index [BMI] &lt; 30 kg/m(2)), obesity class I (BMI 30-34.9 kg/m(2)), obesity class II (BMI 35-39.9 kg/m(2)), and obesity class III (BMI ≥ 40 kg/m(2)). The primary end points were conversion rates and surgical morbidity. The secondary end point was length of stay.\n\nRESULTS: There were significantly more females in the obesity II and III groups (P = 0.0002). American Society of Anesthesiologists scores were significantly higher in the obesity I, II, and III groups compared with the nonobese (P &lt; 0.05; P &lt; 0.01; and P &lt; 0.0001, respectively). Independent predictors of conversion on multivariate analysis (MVA) included age (P = 0.01), acute cholecystitis (P = 0.03), operative time (P &lt; 0.0001), blood loss (P &lt; 0.0001), and fellowship-trained surgeons (P &lt; 0.0001). Independent predictors of intraoperative complications on MVA included age (P = 0.009), white patients (P = 0.009), previous surgery (P = 0.001), operative time (P &lt; 0.0001), and blood loss (P = 0.01). Independent predictors of postoperative complications on MVA included American Society of Anesthesiologists score (P &lt; 0.0001), acute cholecystitis (P &lt; 0.0001), and a postoperative complication (P &lt; 0.0001). BMI was not a predictor of conversions or surgical morbidity. Length of stay was not significantly different between the four groups.\n\nCONCLUSIONS: This study demonstrates that overall conversion rates and surgical morbidity are relatively low following LC, even in obese and morbidly obese patients.","author":[{"dropping-particle":"","family":"Afaneh","given":"Cheguevara","non-dropping-particle":"","parse-names":false,"suffix":""},{"dropping-particle":"","family":"Abelson","given":"Jonathan","non-dropping-particle":"","parse-names":false,"suffix":""},{"dropping-particle":"","family":"Rich","given":"Barrie S","non-dropping-particle":"","parse-names":false,"suffix":""},{"dropping-particle":"","family":"Dakin","given":"Gregory","non-dropping-particle":"","parse-names":false,"suffix":""},{"dropping-particle":"","family":"Zarnegar","given":"Rasa","non-dropping-particle":"","parse-names":false,"suffix":""},{"dropping-particle":"","family":"Barie","given":"Philip S","non-dropping-particle":"","parse-names":false,"suffix":""},{"dropping-particle":"","family":"Fahey","given":"Thomas J","non-dropping-particle":"","parse-names":false,"suffix":""},{"dropping-particle":"","family":"Pomp","given":"Alfons","non-dropping-particle":"","parse-names":false,"suffix":""}],"container-title":"The Journal of surgical research","id":"ITEM-1","issue":"2","issued":{"date-parts":[["2014","8"]]},"page":"491-7","publisher":"Elsevier Inc","title":"Obesity does not increase morbidity of laparoscopic cholecystectomy.","type":"article-journal","volume":"190"},"uris":["http://www.mendeley.com/documents/?uuid=940323e2-ef44-4561-a98f-5f5901a858f1"]}],"mendeley":{"formattedCitation":"&lt;sup&gt;5&lt;/sup&gt;","plainTextFormattedCitation":"5","previouslyFormattedCitation":"(Afaneh et al., 2014)"},"properties":{"noteIndex":0},"schema":"https://github.com/citation-style-language/schema/raw/master/csl-citation.json"}</w:instrText>
      </w:r>
      <w:r w:rsidRPr="00FF238E">
        <w:rPr>
          <w:rFonts w:ascii="Times New Roman" w:hAnsi="Times New Roman" w:cs="Times New Roman"/>
        </w:rPr>
        <w:fldChar w:fldCharType="separate"/>
      </w:r>
      <w:bookmarkStart w:id="3" w:name="__Fieldmark__117_362685557"/>
      <w:bookmarkStart w:id="4" w:name="__Fieldmark__30_1979141823"/>
      <w:bookmarkStart w:id="5" w:name="__Fieldmark__51_440402885"/>
      <w:r w:rsidR="00E0015A" w:rsidRPr="00E0015A">
        <w:rPr>
          <w:rFonts w:ascii="Times New Roman" w:hAnsi="Times New Roman" w:cs="Times New Roman"/>
          <w:noProof/>
          <w:sz w:val="24"/>
          <w:szCs w:val="24"/>
          <w:vertAlign w:val="superscript"/>
        </w:rPr>
        <w:t>5</w:t>
      </w:r>
      <w:r w:rsidRPr="00FF238E">
        <w:rPr>
          <w:rFonts w:ascii="Times New Roman" w:hAnsi="Times New Roman" w:cs="Times New Roman"/>
        </w:rPr>
        <w:fldChar w:fldCharType="end"/>
      </w:r>
      <w:bookmarkEnd w:id="3"/>
      <w:bookmarkEnd w:id="4"/>
      <w:bookmarkEnd w:id="5"/>
      <w:r w:rsidRPr="00FF238E">
        <w:rPr>
          <w:rFonts w:ascii="Times New Roman" w:hAnsi="Times New Roman" w:cs="Times New Roman"/>
          <w:sz w:val="24"/>
          <w:szCs w:val="24"/>
        </w:rPr>
        <w:t>.  Previous studies have had a strong focus on cholecystectomy related complications such as bile duct injury and conversion rate of laparoscopic surgery to traditional laparotomy</w:t>
      </w:r>
      <w:r w:rsidRPr="00FF238E">
        <w:rPr>
          <w:rFonts w:ascii="Times New Roman" w:hAnsi="Times New Roman" w:cs="Times New Roman"/>
        </w:rPr>
        <w:fldChar w:fldCharType="begin" w:fldLock="1"/>
      </w:r>
      <w:r w:rsidR="00E0015A">
        <w:rPr>
          <w:rFonts w:ascii="Times New Roman" w:hAnsi="Times New Roman" w:cs="Times New Roman"/>
        </w:rPr>
        <w:instrText>ADDIN CSL_CITATION {"citationItems":[{"id":"ITEM-1","itemData":{"DOI":"10.1007/s00268-015-3010-z","ISSN":"14322323","PMID":"25663013","abstract":"INTRODUCTION: Iatrogenic bile duct injury is a serious complication of cholecystectomy. The aim of this study was to assess predictors of bile duct injury using a national database. METHODS: The Nationwide Inpatient Sample (2010-2012) was queried for laparoscopic cholecystectomy. We used a) diagnoses for bile duct injury and b) bile duct injury repair procedure codes as a surrogate marker for bile duct injuries. RESULTS: A total of 1,015 patients had bile duct injury. The mean age was 58.2 ± 19.7 years, 53.5 % were males, and median Charlson co-morbidity score was 2 [2, 3]. Multivariate analysis revealed morbid obesity [2.8 (2.1-4.3); p = 0.03] and age &gt;65 [1.5 (1.05-2.1); p = 0.01] as the independent predictors for bile duct injury in patients undergoing cholecystectomy. CONCLUSION: Our study finds a new association between obesity, aging, and bile duct injuries which has never been reported in literature before.","author":[{"dropping-particle":"","family":"Hassan","given":"Aziz","non-dropping-particle":"","parse-names":false,"suffix":""},{"dropping-particle":"","family":"Viraj","given":"Pandit","non-dropping-particle":"","parse-names":false,"suffix":""},{"dropping-particle":"","family":"Bellal","given":"Joseph","non-dropping-particle":"","parse-names":false,"suffix":""},{"dropping-particle":"","family":"Tun","given":"Jie","non-dropping-particle":"","parse-names":false,"suffix":""},{"dropping-particle":"","family":"Evan","given":"Ong","non-dropping-particle":"","parse-names":false,"suffix":""}],"container-title":"Presentations from the 9th Annual Electric Utilities Environmental Conference","id":"ITEM-1","issued":{"date-parts":[["2015"]]},"page":"1804-1808","publisher":"Springer US","title":"Age and Obesity are Independent Predictors of Bile Duct Injuries in Patients Undergoing Laparoscopic Cholecystectomy","type":"article-journal"},"uris":["http://www.mendeley.com/documents/?uuid=b0cf4b3f-542f-4927-828a-46da92859d45"]}],"mendeley":{"formattedCitation":"&lt;sup&gt;6&lt;/sup&gt;","plainTextFormattedCitation":"6","previouslyFormattedCitation":"(Hassan, Viraj, Bellal, Tun, &amp; Evan, 2015)"},"properties":{"noteIndex":0},"schema":"https://github.com/citation-style-language/schema/raw/master/csl-citation.json"}</w:instrText>
      </w:r>
      <w:r w:rsidRPr="00FF238E">
        <w:rPr>
          <w:rFonts w:ascii="Times New Roman" w:hAnsi="Times New Roman" w:cs="Times New Roman"/>
        </w:rPr>
        <w:fldChar w:fldCharType="separate"/>
      </w:r>
      <w:bookmarkStart w:id="6" w:name="__Fieldmark__129_362685557"/>
      <w:r w:rsidR="00E0015A" w:rsidRPr="00E0015A">
        <w:rPr>
          <w:rFonts w:ascii="Times New Roman" w:hAnsi="Times New Roman" w:cs="Times New Roman"/>
          <w:noProof/>
          <w:sz w:val="24"/>
          <w:szCs w:val="24"/>
          <w:vertAlign w:val="superscript"/>
        </w:rPr>
        <w:t>6</w:t>
      </w:r>
      <w:r w:rsidRPr="00FF238E">
        <w:rPr>
          <w:rFonts w:ascii="Times New Roman" w:hAnsi="Times New Roman" w:cs="Times New Roman"/>
        </w:rPr>
        <w:fldChar w:fldCharType="end"/>
      </w:r>
      <w:bookmarkEnd w:id="6"/>
      <w:r w:rsidRPr="00FF238E">
        <w:rPr>
          <w:rFonts w:ascii="Times New Roman" w:hAnsi="Times New Roman" w:cs="Times New Roman"/>
          <w:sz w:val="24"/>
          <w:szCs w:val="24"/>
        </w:rPr>
        <w:t>.  The purpose of this study was to compare surgical outcomes of obese and non-obese patients.</w:t>
      </w:r>
      <w:r>
        <w:rPr>
          <w:rFonts w:ascii="Times New Roman" w:hAnsi="Times New Roman" w:cs="Times New Roman"/>
          <w:sz w:val="24"/>
          <w:szCs w:val="24"/>
        </w:rPr>
        <w:t xml:space="preserve"> </w:t>
      </w:r>
    </w:p>
    <w:p w14:paraId="51507E6D" w14:textId="77777777" w:rsidR="00371D10" w:rsidRPr="00FF238E" w:rsidRDefault="00371D10" w:rsidP="003B39CE">
      <w:pPr>
        <w:pStyle w:val="NoSpacing"/>
        <w:rPr>
          <w:rFonts w:ascii="Times New Roman" w:hAnsi="Times New Roman" w:cs="Times New Roman"/>
          <w:sz w:val="24"/>
          <w:szCs w:val="24"/>
        </w:rPr>
      </w:pPr>
    </w:p>
    <w:p w14:paraId="180F0B52" w14:textId="1ED41CF9" w:rsidR="00371D10" w:rsidRPr="00FF238E" w:rsidRDefault="00E0015A" w:rsidP="003B39CE">
      <w:pPr>
        <w:pStyle w:val="NoSpacing"/>
        <w:rPr>
          <w:rFonts w:ascii="Times New Roman" w:hAnsi="Times New Roman" w:cs="Times New Roman"/>
          <w:sz w:val="24"/>
          <w:szCs w:val="24"/>
        </w:rPr>
      </w:pPr>
      <w:r w:rsidRPr="003B39CE">
        <w:rPr>
          <w:rFonts w:ascii="Times New Roman" w:hAnsi="Times New Roman" w:cs="Times New Roman"/>
          <w:b/>
          <w:bCs/>
          <w:sz w:val="24"/>
          <w:szCs w:val="24"/>
        </w:rPr>
        <w:t>Statement of methods</w:t>
      </w:r>
      <w:r w:rsidR="00371D10" w:rsidRPr="00FF238E">
        <w:rPr>
          <w:rFonts w:ascii="Times New Roman" w:hAnsi="Times New Roman" w:cs="Times New Roman"/>
          <w:sz w:val="24"/>
          <w:szCs w:val="24"/>
        </w:rPr>
        <w:br/>
        <w:t>We recruited 82 patients from a rural hospital undergoing laparoscopic cholecystectomy surgery</w:t>
      </w:r>
      <w:r w:rsidR="003B39CE">
        <w:rPr>
          <w:rFonts w:ascii="Times New Roman" w:hAnsi="Times New Roman" w:cs="Times New Roman"/>
          <w:sz w:val="24"/>
          <w:szCs w:val="24"/>
        </w:rPr>
        <w:t xml:space="preserve"> at a rural hospital</w:t>
      </w:r>
      <w:r w:rsidR="00371D10" w:rsidRPr="00FF238E">
        <w:rPr>
          <w:rFonts w:ascii="Times New Roman" w:hAnsi="Times New Roman" w:cs="Times New Roman"/>
          <w:sz w:val="24"/>
          <w:szCs w:val="24"/>
        </w:rPr>
        <w:t xml:space="preserve">.  Of those, 39 were non-obese and 43 were obese.  We examined the pre-operative characteristics of these patients, including; gender, age, ethnicity, and history of previous abdominal surgery.  Clinical outcomes were measured on intra-operative or postoperative complications, and </w:t>
      </w:r>
      <w:r w:rsidR="00371D10" w:rsidRPr="00FF238E">
        <w:rPr>
          <w:rFonts w:ascii="Times New Roman" w:hAnsi="Times New Roman" w:cs="Times New Roman"/>
          <w:color w:val="000000" w:themeColor="text1"/>
          <w:sz w:val="24"/>
          <w:szCs w:val="24"/>
        </w:rPr>
        <w:t>secondary</w:t>
      </w:r>
      <w:r w:rsidR="00371D10" w:rsidRPr="00FF238E">
        <w:rPr>
          <w:rFonts w:ascii="Times New Roman" w:hAnsi="Times New Roman" w:cs="Times New Roman"/>
          <w:sz w:val="24"/>
          <w:szCs w:val="24"/>
        </w:rPr>
        <w:t xml:space="preserve"> measures of length of stay, and operative time was used.  </w:t>
      </w:r>
    </w:p>
    <w:p w14:paraId="4C9301FF" w14:textId="77777777" w:rsidR="00371D10" w:rsidRPr="00FF238E" w:rsidRDefault="00371D10" w:rsidP="003B39CE">
      <w:pPr>
        <w:pStyle w:val="NoSpacing"/>
        <w:rPr>
          <w:rFonts w:ascii="Times New Roman" w:hAnsi="Times New Roman" w:cs="Times New Roman"/>
          <w:sz w:val="24"/>
          <w:szCs w:val="24"/>
        </w:rPr>
      </w:pPr>
      <w:r w:rsidRPr="00FF238E">
        <w:rPr>
          <w:rFonts w:ascii="Times New Roman" w:hAnsi="Times New Roman" w:cs="Times New Roman"/>
          <w:sz w:val="24"/>
          <w:szCs w:val="24"/>
        </w:rPr>
        <w:t xml:space="preserve">Of those recruited during this study period, there was no statistical difference in complications between non-obese and obese patients (p=0.87).  Length of stay and operative time was also similar between the two groups, with no statistical difference.  Secondary analysis of the operative time showed that as operative time increased, the length of stay post-operatively was longer.   </w:t>
      </w:r>
    </w:p>
    <w:p w14:paraId="3EC066E2" w14:textId="77777777" w:rsidR="00371D10" w:rsidRPr="00FF238E" w:rsidRDefault="00371D10" w:rsidP="003B39CE">
      <w:pPr>
        <w:pStyle w:val="NoSpacing"/>
        <w:rPr>
          <w:rFonts w:ascii="Times New Roman" w:hAnsi="Times New Roman" w:cs="Times New Roman"/>
          <w:sz w:val="24"/>
          <w:szCs w:val="24"/>
        </w:rPr>
      </w:pPr>
    </w:p>
    <w:p w14:paraId="7637BE5F" w14:textId="77777777" w:rsidR="00371D10" w:rsidRPr="003B39CE" w:rsidRDefault="00371D10" w:rsidP="003B39CE">
      <w:pPr>
        <w:pStyle w:val="NoSpacing"/>
        <w:rPr>
          <w:rFonts w:ascii="Times New Roman" w:hAnsi="Times New Roman" w:cs="Times New Roman"/>
          <w:b/>
          <w:bCs/>
          <w:sz w:val="24"/>
          <w:szCs w:val="24"/>
        </w:rPr>
      </w:pPr>
      <w:r w:rsidRPr="003B39CE">
        <w:rPr>
          <w:rFonts w:ascii="Times New Roman" w:hAnsi="Times New Roman" w:cs="Times New Roman"/>
          <w:b/>
          <w:bCs/>
          <w:sz w:val="24"/>
          <w:szCs w:val="24"/>
        </w:rPr>
        <w:t>Conclusion</w:t>
      </w:r>
    </w:p>
    <w:p w14:paraId="76F80A63" w14:textId="4E4812BC" w:rsidR="00D41CA7" w:rsidRDefault="00371D10" w:rsidP="003B39CE">
      <w:pPr>
        <w:pStyle w:val="NoSpacing"/>
        <w:rPr>
          <w:rFonts w:ascii="Times New Roman" w:hAnsi="Times New Roman" w:cs="Times New Roman"/>
          <w:sz w:val="24"/>
          <w:szCs w:val="24"/>
        </w:rPr>
      </w:pPr>
      <w:r w:rsidRPr="00FF238E">
        <w:rPr>
          <w:rFonts w:ascii="Times New Roman" w:hAnsi="Times New Roman" w:cs="Times New Roman"/>
          <w:sz w:val="24"/>
          <w:szCs w:val="24"/>
        </w:rPr>
        <w:t xml:space="preserve">We observed no difference in post operative complications when comparing obese and non-obese patients with laparoscopic cholecystectomy.  Secondary factors such as operative time and length of stay was also similar in both groups.  </w:t>
      </w:r>
    </w:p>
    <w:p w14:paraId="3E038E30" w14:textId="2972A3C0" w:rsidR="00CD383F" w:rsidRDefault="00CD383F" w:rsidP="003B39CE">
      <w:pPr>
        <w:pStyle w:val="NoSpacing"/>
        <w:rPr>
          <w:rFonts w:ascii="Times New Roman" w:hAnsi="Times New Roman" w:cs="Times New Roman"/>
          <w:sz w:val="24"/>
          <w:szCs w:val="24"/>
        </w:rPr>
      </w:pPr>
    </w:p>
    <w:p w14:paraId="6FF33F02" w14:textId="77777777" w:rsidR="00CD383F" w:rsidRPr="003B39CE" w:rsidRDefault="00CD383F" w:rsidP="003B39CE">
      <w:pPr>
        <w:pStyle w:val="NoSpacing"/>
        <w:rPr>
          <w:rFonts w:ascii="Calibri" w:eastAsia="Times New Roman" w:hAnsi="Calibri" w:cs="Calibri"/>
          <w:b/>
          <w:bCs/>
          <w:color w:val="000000"/>
          <w:sz w:val="24"/>
          <w:szCs w:val="24"/>
          <w:lang w:eastAsia="en-AU"/>
        </w:rPr>
      </w:pPr>
      <w:r w:rsidRPr="003B39CE">
        <w:rPr>
          <w:rFonts w:ascii="Calibri" w:eastAsia="Times New Roman" w:hAnsi="Calibri" w:cs="Calibri"/>
          <w:b/>
          <w:bCs/>
          <w:color w:val="000000"/>
          <w:sz w:val="24"/>
          <w:szCs w:val="24"/>
          <w:lang w:eastAsia="en-AU"/>
        </w:rPr>
        <w:t>Biography</w:t>
      </w:r>
    </w:p>
    <w:p w14:paraId="61C530AD" w14:textId="77777777" w:rsidR="00CD383F" w:rsidRDefault="00CD383F" w:rsidP="003B39CE">
      <w:pPr>
        <w:pStyle w:val="NoSpacing"/>
        <w:rPr>
          <w:rFonts w:ascii="Calibri" w:eastAsia="Times New Roman" w:hAnsi="Calibri" w:cs="Calibri"/>
          <w:color w:val="000000"/>
          <w:sz w:val="24"/>
          <w:szCs w:val="24"/>
          <w:lang w:eastAsia="en-AU"/>
        </w:rPr>
      </w:pPr>
      <w:r>
        <w:rPr>
          <w:rFonts w:ascii="Calibri" w:eastAsia="Times New Roman" w:hAnsi="Calibri" w:cs="Calibri"/>
          <w:color w:val="000000"/>
          <w:sz w:val="24"/>
          <w:szCs w:val="24"/>
          <w:lang w:eastAsia="en-AU"/>
        </w:rPr>
        <w:t xml:space="preserve">Dr Timothy Peacock is a general surgical registrar working at Liverpool Hospital, NSW, Australia.  He has completed a Masters of surgery through the University of Sydney.  He has a keen interest in surgical education, rural surgery, and neural network training.  </w:t>
      </w:r>
    </w:p>
    <w:p w14:paraId="6F268A12" w14:textId="77777777" w:rsidR="003B39CE" w:rsidRDefault="003B39CE" w:rsidP="00E0015A">
      <w:pPr>
        <w:widowControl w:val="0"/>
        <w:autoSpaceDE w:val="0"/>
        <w:autoSpaceDN w:val="0"/>
        <w:adjustRightInd w:val="0"/>
        <w:spacing w:line="240" w:lineRule="auto"/>
        <w:ind w:left="640" w:hanging="640"/>
        <w:rPr>
          <w:rFonts w:ascii="Times New Roman" w:hAnsi="Times New Roman" w:cs="Times New Roman"/>
          <w:b/>
          <w:bCs/>
          <w:sz w:val="24"/>
          <w:szCs w:val="24"/>
        </w:rPr>
      </w:pPr>
    </w:p>
    <w:p w14:paraId="6F206039" w14:textId="77777777" w:rsidR="003B39CE" w:rsidRDefault="003B39CE" w:rsidP="00E0015A">
      <w:pPr>
        <w:widowControl w:val="0"/>
        <w:autoSpaceDE w:val="0"/>
        <w:autoSpaceDN w:val="0"/>
        <w:adjustRightInd w:val="0"/>
        <w:spacing w:line="240" w:lineRule="auto"/>
        <w:ind w:left="640" w:hanging="640"/>
        <w:rPr>
          <w:rFonts w:ascii="Times New Roman" w:hAnsi="Times New Roman" w:cs="Times New Roman"/>
          <w:b/>
          <w:bCs/>
          <w:sz w:val="24"/>
          <w:szCs w:val="24"/>
        </w:rPr>
      </w:pPr>
    </w:p>
    <w:p w14:paraId="35C0F3C9" w14:textId="348BB80B" w:rsidR="00E0015A" w:rsidRPr="00E0015A" w:rsidRDefault="00E0015A" w:rsidP="00E0015A">
      <w:pPr>
        <w:widowControl w:val="0"/>
        <w:autoSpaceDE w:val="0"/>
        <w:autoSpaceDN w:val="0"/>
        <w:adjustRightInd w:val="0"/>
        <w:spacing w:line="240" w:lineRule="auto"/>
        <w:ind w:left="640" w:hanging="640"/>
        <w:rPr>
          <w:rFonts w:ascii="Times New Roman" w:hAnsi="Times New Roman" w:cs="Times New Roman"/>
          <w:b/>
          <w:bCs/>
          <w:sz w:val="24"/>
          <w:szCs w:val="24"/>
        </w:rPr>
      </w:pPr>
      <w:r w:rsidRPr="00E0015A">
        <w:rPr>
          <w:rFonts w:ascii="Times New Roman" w:hAnsi="Times New Roman" w:cs="Times New Roman"/>
          <w:b/>
          <w:bCs/>
          <w:sz w:val="24"/>
          <w:szCs w:val="24"/>
        </w:rPr>
        <w:lastRenderedPageBreak/>
        <w:t>References</w:t>
      </w:r>
    </w:p>
    <w:p w14:paraId="74086A06" w14:textId="765C2F6B" w:rsidR="00E0015A" w:rsidRPr="00E0015A" w:rsidRDefault="00E0015A" w:rsidP="00E0015A">
      <w:pPr>
        <w:widowControl w:val="0"/>
        <w:autoSpaceDE w:val="0"/>
        <w:autoSpaceDN w:val="0"/>
        <w:adjustRightInd w:val="0"/>
        <w:spacing w:line="240" w:lineRule="auto"/>
        <w:ind w:left="640" w:hanging="640"/>
        <w:rPr>
          <w:rFonts w:ascii="Calibri" w:hAnsi="Calibri" w:cs="Calibri"/>
          <w:noProof/>
          <w:szCs w:val="24"/>
        </w:rPr>
      </w:pPr>
      <w:r>
        <w:fldChar w:fldCharType="begin" w:fldLock="1"/>
      </w:r>
      <w:r>
        <w:instrText xml:space="preserve">ADDIN Mendeley Bibliography CSL_BIBLIOGRAPHY </w:instrText>
      </w:r>
      <w:r>
        <w:fldChar w:fldCharType="separate"/>
      </w:r>
      <w:r w:rsidRPr="00E0015A">
        <w:rPr>
          <w:rFonts w:ascii="Calibri" w:hAnsi="Calibri" w:cs="Calibri"/>
          <w:noProof/>
          <w:szCs w:val="24"/>
        </w:rPr>
        <w:t xml:space="preserve">1. </w:t>
      </w:r>
      <w:r w:rsidRPr="00E0015A">
        <w:rPr>
          <w:rFonts w:ascii="Calibri" w:hAnsi="Calibri" w:cs="Calibri"/>
          <w:noProof/>
          <w:szCs w:val="24"/>
        </w:rPr>
        <w:tab/>
        <w:t xml:space="preserve">Ammori BJ, Vezakis  a, Davides D, Martin IG, Larvin M, McMahon MJ. Laparoscopic cholecystectomy in morbidly obese patients. </w:t>
      </w:r>
      <w:r w:rsidRPr="00E0015A">
        <w:rPr>
          <w:rFonts w:ascii="Calibri" w:hAnsi="Calibri" w:cs="Calibri"/>
          <w:i/>
          <w:iCs/>
          <w:noProof/>
          <w:szCs w:val="24"/>
        </w:rPr>
        <w:t>Surg Endosc</w:t>
      </w:r>
      <w:r w:rsidRPr="00E0015A">
        <w:rPr>
          <w:rFonts w:ascii="Calibri" w:hAnsi="Calibri" w:cs="Calibri"/>
          <w:noProof/>
          <w:szCs w:val="24"/>
        </w:rPr>
        <w:t>. 2001;15(11):1336-1339. doi:10.1007/s004640000019</w:t>
      </w:r>
    </w:p>
    <w:p w14:paraId="01D84D57" w14:textId="77777777" w:rsidR="00E0015A" w:rsidRPr="00E0015A" w:rsidRDefault="00E0015A" w:rsidP="00E0015A">
      <w:pPr>
        <w:widowControl w:val="0"/>
        <w:autoSpaceDE w:val="0"/>
        <w:autoSpaceDN w:val="0"/>
        <w:adjustRightInd w:val="0"/>
        <w:spacing w:line="240" w:lineRule="auto"/>
        <w:ind w:left="640" w:hanging="640"/>
        <w:rPr>
          <w:rFonts w:ascii="Calibri" w:hAnsi="Calibri" w:cs="Calibri"/>
          <w:noProof/>
          <w:szCs w:val="24"/>
        </w:rPr>
      </w:pPr>
      <w:r w:rsidRPr="00E0015A">
        <w:rPr>
          <w:rFonts w:ascii="Calibri" w:hAnsi="Calibri" w:cs="Calibri"/>
          <w:noProof/>
          <w:szCs w:val="24"/>
        </w:rPr>
        <w:t xml:space="preserve">2. </w:t>
      </w:r>
      <w:r w:rsidRPr="00E0015A">
        <w:rPr>
          <w:rFonts w:ascii="Calibri" w:hAnsi="Calibri" w:cs="Calibri"/>
          <w:noProof/>
          <w:szCs w:val="24"/>
        </w:rPr>
        <w:tab/>
        <w:t xml:space="preserve">Donkervoort SC, Dijksman LM, de Nes LCF, Versluis PG, Derksen J, Gerhards MF. Outcome of laparoscopic cholecystectomy conversion: is the surgeon’s selection needed? </w:t>
      </w:r>
      <w:r w:rsidRPr="00E0015A">
        <w:rPr>
          <w:rFonts w:ascii="Calibri" w:hAnsi="Calibri" w:cs="Calibri"/>
          <w:i/>
          <w:iCs/>
          <w:noProof/>
          <w:szCs w:val="24"/>
        </w:rPr>
        <w:t>Surg Endosc</w:t>
      </w:r>
      <w:r w:rsidRPr="00E0015A">
        <w:rPr>
          <w:rFonts w:ascii="Calibri" w:hAnsi="Calibri" w:cs="Calibri"/>
          <w:noProof/>
          <w:szCs w:val="24"/>
        </w:rPr>
        <w:t>. 2012;26(8):2360-2366. doi:10.1007/s00464-012-2189-4</w:t>
      </w:r>
    </w:p>
    <w:p w14:paraId="621BA37F" w14:textId="77777777" w:rsidR="00E0015A" w:rsidRPr="00E0015A" w:rsidRDefault="00E0015A" w:rsidP="00E0015A">
      <w:pPr>
        <w:widowControl w:val="0"/>
        <w:autoSpaceDE w:val="0"/>
        <w:autoSpaceDN w:val="0"/>
        <w:adjustRightInd w:val="0"/>
        <w:spacing w:line="240" w:lineRule="auto"/>
        <w:ind w:left="640" w:hanging="640"/>
        <w:rPr>
          <w:rFonts w:ascii="Calibri" w:hAnsi="Calibri" w:cs="Calibri"/>
          <w:noProof/>
          <w:szCs w:val="24"/>
        </w:rPr>
      </w:pPr>
      <w:r w:rsidRPr="00E0015A">
        <w:rPr>
          <w:rFonts w:ascii="Calibri" w:hAnsi="Calibri" w:cs="Calibri"/>
          <w:noProof/>
          <w:szCs w:val="24"/>
        </w:rPr>
        <w:t xml:space="preserve">3. </w:t>
      </w:r>
      <w:r w:rsidRPr="00E0015A">
        <w:rPr>
          <w:rFonts w:ascii="Calibri" w:hAnsi="Calibri" w:cs="Calibri"/>
          <w:noProof/>
          <w:szCs w:val="24"/>
        </w:rPr>
        <w:tab/>
        <w:t xml:space="preserve">Giger UF, Michel J-M, Opitz I, Th Inderbitzin D, Kocher T, Krähenbühl L. Risk factors for perioperative complications in patients undergoing laparoscopic cholecystectomy: analysis of 22,953 consecutive cases from the Swiss Association of Laparoscopic and Thoracoscopic Surgery database. </w:t>
      </w:r>
      <w:r w:rsidRPr="00E0015A">
        <w:rPr>
          <w:rFonts w:ascii="Calibri" w:hAnsi="Calibri" w:cs="Calibri"/>
          <w:i/>
          <w:iCs/>
          <w:noProof/>
          <w:szCs w:val="24"/>
        </w:rPr>
        <w:t>J Am Coll Surg</w:t>
      </w:r>
      <w:r w:rsidRPr="00E0015A">
        <w:rPr>
          <w:rFonts w:ascii="Calibri" w:hAnsi="Calibri" w:cs="Calibri"/>
          <w:noProof/>
          <w:szCs w:val="24"/>
        </w:rPr>
        <w:t>. 2006;203(5):723-728. doi:10.1016/j.jamcollsurg.2006.07.018</w:t>
      </w:r>
    </w:p>
    <w:p w14:paraId="595C3560" w14:textId="77777777" w:rsidR="00E0015A" w:rsidRPr="00E0015A" w:rsidRDefault="00E0015A" w:rsidP="00E0015A">
      <w:pPr>
        <w:widowControl w:val="0"/>
        <w:autoSpaceDE w:val="0"/>
        <w:autoSpaceDN w:val="0"/>
        <w:adjustRightInd w:val="0"/>
        <w:spacing w:line="240" w:lineRule="auto"/>
        <w:ind w:left="640" w:hanging="640"/>
        <w:rPr>
          <w:rFonts w:ascii="Calibri" w:hAnsi="Calibri" w:cs="Calibri"/>
          <w:noProof/>
          <w:szCs w:val="24"/>
        </w:rPr>
      </w:pPr>
      <w:r w:rsidRPr="00E0015A">
        <w:rPr>
          <w:rFonts w:ascii="Calibri" w:hAnsi="Calibri" w:cs="Calibri"/>
          <w:noProof/>
          <w:szCs w:val="24"/>
        </w:rPr>
        <w:t xml:space="preserve">4. </w:t>
      </w:r>
      <w:r w:rsidRPr="00E0015A">
        <w:rPr>
          <w:rFonts w:ascii="Calibri" w:hAnsi="Calibri" w:cs="Calibri"/>
          <w:noProof/>
          <w:szCs w:val="24"/>
        </w:rPr>
        <w:tab/>
        <w:t xml:space="preserve">Ercan M, Bostanci EB, Teke Z, et al. Predictive factors for conversion to open surgery in patients undergoing elective laparoscopic cholecystectomy. </w:t>
      </w:r>
      <w:r w:rsidRPr="00E0015A">
        <w:rPr>
          <w:rFonts w:ascii="Calibri" w:hAnsi="Calibri" w:cs="Calibri"/>
          <w:i/>
          <w:iCs/>
          <w:noProof/>
          <w:szCs w:val="24"/>
        </w:rPr>
        <w:t>J Laparoendosc Adv Surg Tech A</w:t>
      </w:r>
      <w:r w:rsidRPr="00E0015A">
        <w:rPr>
          <w:rFonts w:ascii="Calibri" w:hAnsi="Calibri" w:cs="Calibri"/>
          <w:noProof/>
          <w:szCs w:val="24"/>
        </w:rPr>
        <w:t>. 2010;20(5):427-434. doi:10.1089/lap.2009.0457</w:t>
      </w:r>
    </w:p>
    <w:p w14:paraId="4178867B" w14:textId="77777777" w:rsidR="00E0015A" w:rsidRPr="00E0015A" w:rsidRDefault="00E0015A" w:rsidP="00E0015A">
      <w:pPr>
        <w:widowControl w:val="0"/>
        <w:autoSpaceDE w:val="0"/>
        <w:autoSpaceDN w:val="0"/>
        <w:adjustRightInd w:val="0"/>
        <w:spacing w:line="240" w:lineRule="auto"/>
        <w:ind w:left="640" w:hanging="640"/>
        <w:rPr>
          <w:rFonts w:ascii="Calibri" w:hAnsi="Calibri" w:cs="Calibri"/>
          <w:noProof/>
          <w:szCs w:val="24"/>
        </w:rPr>
      </w:pPr>
      <w:r w:rsidRPr="00E0015A">
        <w:rPr>
          <w:rFonts w:ascii="Calibri" w:hAnsi="Calibri" w:cs="Calibri"/>
          <w:noProof/>
          <w:szCs w:val="24"/>
        </w:rPr>
        <w:t xml:space="preserve">5. </w:t>
      </w:r>
      <w:r w:rsidRPr="00E0015A">
        <w:rPr>
          <w:rFonts w:ascii="Calibri" w:hAnsi="Calibri" w:cs="Calibri"/>
          <w:noProof/>
          <w:szCs w:val="24"/>
        </w:rPr>
        <w:tab/>
        <w:t xml:space="preserve">Afaneh C, Abelson J, Rich BS, et al. Obesity does not increase morbidity of laparoscopic cholecystectomy. </w:t>
      </w:r>
      <w:r w:rsidRPr="00E0015A">
        <w:rPr>
          <w:rFonts w:ascii="Calibri" w:hAnsi="Calibri" w:cs="Calibri"/>
          <w:i/>
          <w:iCs/>
          <w:noProof/>
          <w:szCs w:val="24"/>
        </w:rPr>
        <w:t>J Surg Res</w:t>
      </w:r>
      <w:r w:rsidRPr="00E0015A">
        <w:rPr>
          <w:rFonts w:ascii="Calibri" w:hAnsi="Calibri" w:cs="Calibri"/>
          <w:noProof/>
          <w:szCs w:val="24"/>
        </w:rPr>
        <w:t>. 2014;190(2):491-497. doi:10.1016/j.jss.2014.02.014</w:t>
      </w:r>
    </w:p>
    <w:p w14:paraId="47CBF805" w14:textId="77777777" w:rsidR="00E0015A" w:rsidRPr="00E0015A" w:rsidRDefault="00E0015A" w:rsidP="00E0015A">
      <w:pPr>
        <w:widowControl w:val="0"/>
        <w:autoSpaceDE w:val="0"/>
        <w:autoSpaceDN w:val="0"/>
        <w:adjustRightInd w:val="0"/>
        <w:spacing w:line="240" w:lineRule="auto"/>
        <w:ind w:left="640" w:hanging="640"/>
        <w:rPr>
          <w:rFonts w:ascii="Calibri" w:hAnsi="Calibri" w:cs="Calibri"/>
          <w:noProof/>
        </w:rPr>
      </w:pPr>
      <w:r w:rsidRPr="00E0015A">
        <w:rPr>
          <w:rFonts w:ascii="Calibri" w:hAnsi="Calibri" w:cs="Calibri"/>
          <w:noProof/>
          <w:szCs w:val="24"/>
        </w:rPr>
        <w:t xml:space="preserve">6. </w:t>
      </w:r>
      <w:r w:rsidRPr="00E0015A">
        <w:rPr>
          <w:rFonts w:ascii="Calibri" w:hAnsi="Calibri" w:cs="Calibri"/>
          <w:noProof/>
          <w:szCs w:val="24"/>
        </w:rPr>
        <w:tab/>
        <w:t xml:space="preserve">Hassan A, Viraj P, Bellal J, Tun J, Evan O. Age and Obesity are Independent Predictors of Bile Duct Injuries in Patients Undergoing Laparoscopic Cholecystectomy. </w:t>
      </w:r>
      <w:r w:rsidRPr="00E0015A">
        <w:rPr>
          <w:rFonts w:ascii="Calibri" w:hAnsi="Calibri" w:cs="Calibri"/>
          <w:i/>
          <w:iCs/>
          <w:noProof/>
          <w:szCs w:val="24"/>
        </w:rPr>
        <w:t>Present from 9th Annu Electr Util Environ Conf</w:t>
      </w:r>
      <w:r w:rsidRPr="00E0015A">
        <w:rPr>
          <w:rFonts w:ascii="Calibri" w:hAnsi="Calibri" w:cs="Calibri"/>
          <w:noProof/>
          <w:szCs w:val="24"/>
        </w:rPr>
        <w:t>. 2015:1804-1808. doi:10.1007/s00268-015-3010-z</w:t>
      </w:r>
    </w:p>
    <w:p w14:paraId="0FAA72A4" w14:textId="3F0FD56C" w:rsidR="00371D10" w:rsidRDefault="00E0015A" w:rsidP="00371D10">
      <w:r>
        <w:fldChar w:fldCharType="end"/>
      </w:r>
    </w:p>
    <w:sectPr w:rsidR="00371D10" w:rsidSect="00D41C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D10"/>
    <w:rsid w:val="00371D10"/>
    <w:rsid w:val="003B39CE"/>
    <w:rsid w:val="00CD383F"/>
    <w:rsid w:val="00D41CA7"/>
    <w:rsid w:val="00E00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377F4"/>
  <w15:chartTrackingRefBased/>
  <w15:docId w15:val="{F1D8025E-A52C-4F91-8768-7DD1DCB1A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D10"/>
    <w:pPr>
      <w:spacing w:before="100"/>
    </w:pPr>
    <w:rPr>
      <w:rFonts w:eastAsiaTheme="minorEastAsia"/>
      <w:sz w:val="20"/>
      <w:szCs w:val="20"/>
      <w:lang w:val="en-A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qFormat/>
    <w:rsid w:val="00CD383F"/>
    <w:rPr>
      <w:rFonts w:asciiTheme="majorHAnsi" w:eastAsiaTheme="majorEastAsia" w:hAnsiTheme="majorHAnsi" w:cstheme="majorBidi"/>
      <w:caps/>
      <w:color w:val="4F81BD" w:themeColor="accent1"/>
      <w:spacing w:val="10"/>
      <w:sz w:val="52"/>
      <w:szCs w:val="52"/>
    </w:rPr>
  </w:style>
  <w:style w:type="paragraph" w:styleId="Title">
    <w:name w:val="Title"/>
    <w:basedOn w:val="Normal"/>
    <w:next w:val="Normal"/>
    <w:link w:val="TitleChar"/>
    <w:uiPriority w:val="10"/>
    <w:qFormat/>
    <w:rsid w:val="00CD383F"/>
    <w:pPr>
      <w:spacing w:before="0" w:after="0"/>
    </w:pPr>
    <w:rPr>
      <w:rFonts w:asciiTheme="majorHAnsi" w:eastAsiaTheme="majorEastAsia" w:hAnsiTheme="majorHAnsi" w:cstheme="majorBidi"/>
      <w:caps/>
      <w:color w:val="4F81BD" w:themeColor="accent1"/>
      <w:spacing w:val="10"/>
      <w:sz w:val="52"/>
      <w:szCs w:val="52"/>
      <w:lang w:val="en-US" w:eastAsia="en-US"/>
    </w:rPr>
  </w:style>
  <w:style w:type="character" w:customStyle="1" w:styleId="TitleChar1">
    <w:name w:val="Title Char1"/>
    <w:basedOn w:val="DefaultParagraphFont"/>
    <w:uiPriority w:val="10"/>
    <w:rsid w:val="00CD383F"/>
    <w:rPr>
      <w:rFonts w:asciiTheme="majorHAnsi" w:eastAsiaTheme="majorEastAsia" w:hAnsiTheme="majorHAnsi" w:cstheme="majorBidi"/>
      <w:spacing w:val="-10"/>
      <w:kern w:val="28"/>
      <w:sz w:val="56"/>
      <w:szCs w:val="56"/>
      <w:lang w:val="en-AU" w:eastAsia="zh-CN"/>
    </w:rPr>
  </w:style>
  <w:style w:type="paragraph" w:styleId="NoSpacing">
    <w:name w:val="No Spacing"/>
    <w:uiPriority w:val="1"/>
    <w:qFormat/>
    <w:rsid w:val="003B39CE"/>
    <w:pPr>
      <w:spacing w:after="0" w:line="240" w:lineRule="auto"/>
    </w:pPr>
    <w:rPr>
      <w:rFonts w:eastAsiaTheme="minorEastAsia"/>
      <w:sz w:val="20"/>
      <w:szCs w:val="20"/>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719FD-9283-453C-9967-249D7369A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3462</Words>
  <Characters>19735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Peacock</dc:creator>
  <cp:keywords/>
  <dc:description/>
  <cp:lastModifiedBy>Timothy Peacock</cp:lastModifiedBy>
  <cp:revision>2</cp:revision>
  <dcterms:created xsi:type="dcterms:W3CDTF">2022-02-28T12:01:00Z</dcterms:created>
  <dcterms:modified xsi:type="dcterms:W3CDTF">2022-02-28T12:01:00Z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c1f7c343-5e46-3582-8752-ae194bcedcda</vt:lpwstr>
  </property>
  <property fmtid="{D5CDD505-2E9C-101B-9397-08002B2CF9AE}" pid="4" name="Mendeley Citation Style_1">
    <vt:lpwstr>http://www.zotero.org/styles/american-medical-association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