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687ED2" w14:textId="77777777" w:rsidR="007945B5" w:rsidRPr="007945B5" w:rsidRDefault="007945B5" w:rsidP="007945B5">
      <w:pPr>
        <w:spacing w:after="0" w:line="240" w:lineRule="auto"/>
        <w:rPr>
          <w:rFonts w:ascii="Calibri" w:eastAsia="Times New Roman" w:hAnsi="Calibri" w:cs="Calibri"/>
          <w:color w:val="000000"/>
          <w:sz w:val="24"/>
          <w:szCs w:val="24"/>
          <w:lang w:eastAsia="en-AU"/>
        </w:rPr>
      </w:pPr>
      <w:r w:rsidRPr="007945B5">
        <w:rPr>
          <w:rFonts w:ascii="Calibri" w:eastAsia="Times New Roman" w:hAnsi="Calibri" w:cs="Calibri"/>
          <w:b/>
          <w:bCs/>
          <w:color w:val="000000"/>
          <w:sz w:val="24"/>
          <w:szCs w:val="24"/>
          <w:lang w:eastAsia="en-AU"/>
        </w:rPr>
        <w:t>Beyond the p value – Fragility Index as a marker of robustness of Randomised Controlled Trials</w:t>
      </w:r>
    </w:p>
    <w:p w14:paraId="4ED5F822" w14:textId="2C32CB3F" w:rsidR="007945B5" w:rsidRDefault="007945B5" w:rsidP="007945B5">
      <w:pPr>
        <w:spacing w:after="0" w:line="240" w:lineRule="auto"/>
        <w:rPr>
          <w:rFonts w:ascii="Calibri" w:eastAsia="Times New Roman" w:hAnsi="Calibri" w:cs="Calibri"/>
          <w:color w:val="000000"/>
          <w:sz w:val="24"/>
          <w:szCs w:val="24"/>
          <w:lang w:eastAsia="en-AU"/>
        </w:rPr>
      </w:pPr>
      <w:r w:rsidRPr="007945B5">
        <w:rPr>
          <w:rFonts w:ascii="Calibri" w:eastAsia="Times New Roman" w:hAnsi="Calibri" w:cs="Calibri"/>
          <w:color w:val="000000"/>
          <w:sz w:val="24"/>
          <w:szCs w:val="24"/>
          <w:lang w:eastAsia="en-AU"/>
        </w:rPr>
        <w:t> </w:t>
      </w:r>
    </w:p>
    <w:p w14:paraId="33ABF44C" w14:textId="4FD37650" w:rsidR="00E031CF" w:rsidRDefault="00E031CF" w:rsidP="007945B5">
      <w:pPr>
        <w:spacing w:after="0" w:line="240" w:lineRule="auto"/>
        <w:rPr>
          <w:rFonts w:ascii="Calibri" w:eastAsia="Times New Roman" w:hAnsi="Calibri" w:cs="Calibri"/>
          <w:color w:val="000000"/>
          <w:sz w:val="24"/>
          <w:szCs w:val="24"/>
          <w:lang w:eastAsia="en-AU"/>
        </w:rPr>
      </w:pPr>
      <w:r>
        <w:rPr>
          <w:rFonts w:ascii="Calibri" w:eastAsia="Times New Roman" w:hAnsi="Calibri" w:cs="Calibri"/>
          <w:color w:val="000000"/>
          <w:sz w:val="24"/>
          <w:szCs w:val="24"/>
          <w:lang w:eastAsia="en-AU"/>
        </w:rPr>
        <w:t>Authors</w:t>
      </w:r>
    </w:p>
    <w:p w14:paraId="7E6EBBA4" w14:textId="72E01A67" w:rsidR="00E031CF" w:rsidRDefault="00E031CF" w:rsidP="007945B5">
      <w:pPr>
        <w:spacing w:after="0" w:line="240" w:lineRule="auto"/>
        <w:rPr>
          <w:rFonts w:ascii="Calibri" w:eastAsia="Times New Roman" w:hAnsi="Calibri" w:cs="Calibri"/>
          <w:color w:val="000000"/>
          <w:sz w:val="24"/>
          <w:szCs w:val="24"/>
          <w:lang w:eastAsia="en-AU"/>
        </w:rPr>
      </w:pPr>
      <w:r>
        <w:rPr>
          <w:rFonts w:ascii="Calibri" w:eastAsia="Times New Roman" w:hAnsi="Calibri" w:cs="Calibri"/>
          <w:color w:val="000000"/>
          <w:sz w:val="24"/>
          <w:szCs w:val="24"/>
          <w:lang w:eastAsia="en-AU"/>
        </w:rPr>
        <w:t>Dr Timothy Peacock</w:t>
      </w:r>
    </w:p>
    <w:p w14:paraId="1A61E931" w14:textId="4F1D53F2" w:rsidR="00E031CF" w:rsidRDefault="00E031CF" w:rsidP="007945B5">
      <w:pPr>
        <w:spacing w:after="0" w:line="240" w:lineRule="auto"/>
        <w:rPr>
          <w:rFonts w:ascii="Calibri" w:eastAsia="Times New Roman" w:hAnsi="Calibri" w:cs="Calibri"/>
          <w:color w:val="000000"/>
          <w:sz w:val="24"/>
          <w:szCs w:val="24"/>
          <w:lang w:eastAsia="en-AU"/>
        </w:rPr>
      </w:pPr>
      <w:r>
        <w:rPr>
          <w:rFonts w:ascii="Calibri" w:eastAsia="Times New Roman" w:hAnsi="Calibri" w:cs="Calibri"/>
          <w:color w:val="000000"/>
          <w:sz w:val="24"/>
          <w:szCs w:val="24"/>
          <w:lang w:eastAsia="en-AU"/>
        </w:rPr>
        <w:t xml:space="preserve">Dr Alexandra </w:t>
      </w:r>
      <w:proofErr w:type="spellStart"/>
      <w:r>
        <w:rPr>
          <w:rFonts w:ascii="Calibri" w:eastAsia="Times New Roman" w:hAnsi="Calibri" w:cs="Calibri"/>
          <w:color w:val="000000"/>
          <w:sz w:val="24"/>
          <w:szCs w:val="24"/>
          <w:lang w:eastAsia="en-AU"/>
        </w:rPr>
        <w:t>Limmer</w:t>
      </w:r>
      <w:proofErr w:type="spellEnd"/>
    </w:p>
    <w:p w14:paraId="332A38C4" w14:textId="5FD172A2" w:rsidR="00E031CF" w:rsidRDefault="00E031CF" w:rsidP="007945B5">
      <w:pPr>
        <w:spacing w:after="0" w:line="240" w:lineRule="auto"/>
        <w:rPr>
          <w:rFonts w:ascii="Calibri" w:eastAsia="Times New Roman" w:hAnsi="Calibri" w:cs="Calibri"/>
          <w:color w:val="000000"/>
          <w:sz w:val="24"/>
          <w:szCs w:val="24"/>
          <w:lang w:eastAsia="en-AU"/>
        </w:rPr>
      </w:pPr>
      <w:r>
        <w:rPr>
          <w:rFonts w:ascii="Calibri" w:eastAsia="Times New Roman" w:hAnsi="Calibri" w:cs="Calibri"/>
          <w:color w:val="000000"/>
          <w:sz w:val="24"/>
          <w:szCs w:val="24"/>
          <w:lang w:eastAsia="en-AU"/>
        </w:rPr>
        <w:t xml:space="preserve">Liverpool Hospital, NSW, Australia.  </w:t>
      </w:r>
    </w:p>
    <w:p w14:paraId="1C323530" w14:textId="77777777" w:rsidR="00E031CF" w:rsidRDefault="00E031CF" w:rsidP="007945B5">
      <w:pPr>
        <w:spacing w:after="0" w:line="240" w:lineRule="auto"/>
        <w:rPr>
          <w:rFonts w:ascii="Calibri" w:eastAsia="Times New Roman" w:hAnsi="Calibri" w:cs="Calibri"/>
          <w:color w:val="000000"/>
          <w:sz w:val="24"/>
          <w:szCs w:val="24"/>
          <w:lang w:eastAsia="en-AU"/>
        </w:rPr>
      </w:pPr>
    </w:p>
    <w:p w14:paraId="50A87B15" w14:textId="3E390AF0" w:rsidR="007945B5" w:rsidRPr="007945B5" w:rsidRDefault="007945B5" w:rsidP="007945B5">
      <w:pPr>
        <w:spacing w:after="0" w:line="240" w:lineRule="auto"/>
        <w:rPr>
          <w:rFonts w:ascii="Calibri" w:eastAsia="Times New Roman" w:hAnsi="Calibri" w:cs="Calibri"/>
          <w:color w:val="000000"/>
          <w:sz w:val="24"/>
          <w:szCs w:val="24"/>
          <w:lang w:eastAsia="en-AU"/>
        </w:rPr>
      </w:pPr>
      <w:r>
        <w:rPr>
          <w:rFonts w:ascii="Calibri" w:eastAsia="Times New Roman" w:hAnsi="Calibri" w:cs="Calibri"/>
          <w:color w:val="000000"/>
          <w:sz w:val="24"/>
          <w:szCs w:val="24"/>
          <w:lang w:eastAsia="en-AU"/>
        </w:rPr>
        <w:t>Purpose of the study</w:t>
      </w:r>
    </w:p>
    <w:p w14:paraId="019D12E3" w14:textId="77777777" w:rsidR="007945B5" w:rsidRPr="007945B5" w:rsidRDefault="007945B5" w:rsidP="007945B5">
      <w:pPr>
        <w:spacing w:after="0" w:line="240" w:lineRule="auto"/>
        <w:rPr>
          <w:rFonts w:ascii="Calibri" w:eastAsia="Times New Roman" w:hAnsi="Calibri" w:cs="Calibri"/>
          <w:color w:val="000000"/>
          <w:sz w:val="24"/>
          <w:szCs w:val="24"/>
          <w:lang w:eastAsia="en-AU"/>
        </w:rPr>
      </w:pPr>
      <w:r w:rsidRPr="007945B5">
        <w:rPr>
          <w:rFonts w:ascii="Calibri" w:eastAsia="Times New Roman" w:hAnsi="Calibri" w:cs="Calibri"/>
          <w:color w:val="000000"/>
          <w:sz w:val="24"/>
          <w:szCs w:val="24"/>
          <w:lang w:eastAsia="en-AU"/>
        </w:rPr>
        <w:t>Evaluation of results of randomised controlled trials (RCTs) is traditionally based on p values and confidence intervals. This has limitations depending on sample size and number of events. Fragility Index is an emerging marker that complements interpretation of a significant p value.</w:t>
      </w:r>
    </w:p>
    <w:p w14:paraId="01EA3C7A" w14:textId="77777777" w:rsidR="007945B5" w:rsidRPr="007945B5" w:rsidRDefault="007945B5" w:rsidP="007945B5">
      <w:pPr>
        <w:spacing w:after="0" w:line="240" w:lineRule="auto"/>
        <w:rPr>
          <w:rFonts w:ascii="Calibri" w:eastAsia="Times New Roman" w:hAnsi="Calibri" w:cs="Calibri"/>
          <w:color w:val="000000"/>
          <w:sz w:val="24"/>
          <w:szCs w:val="24"/>
          <w:lang w:eastAsia="en-AU"/>
        </w:rPr>
      </w:pPr>
      <w:r w:rsidRPr="007945B5">
        <w:rPr>
          <w:rFonts w:ascii="Calibri" w:eastAsia="Times New Roman" w:hAnsi="Calibri" w:cs="Calibri"/>
          <w:color w:val="000000"/>
          <w:sz w:val="24"/>
          <w:szCs w:val="24"/>
          <w:lang w:eastAsia="en-AU"/>
        </w:rPr>
        <w:t> </w:t>
      </w:r>
    </w:p>
    <w:p w14:paraId="121EB5AB" w14:textId="77777777" w:rsidR="007945B5" w:rsidRPr="007945B5" w:rsidRDefault="007945B5" w:rsidP="007945B5">
      <w:pPr>
        <w:spacing w:after="0" w:line="240" w:lineRule="auto"/>
        <w:rPr>
          <w:rFonts w:ascii="Calibri" w:eastAsia="Times New Roman" w:hAnsi="Calibri" w:cs="Calibri"/>
          <w:color w:val="000000"/>
          <w:sz w:val="24"/>
          <w:szCs w:val="24"/>
          <w:lang w:eastAsia="en-AU"/>
        </w:rPr>
      </w:pPr>
      <w:r w:rsidRPr="007945B5">
        <w:rPr>
          <w:rFonts w:ascii="Calibri" w:eastAsia="Times New Roman" w:hAnsi="Calibri" w:cs="Calibri"/>
          <w:color w:val="000000"/>
          <w:sz w:val="24"/>
          <w:szCs w:val="24"/>
          <w:lang w:eastAsia="en-AU"/>
        </w:rPr>
        <w:t>Fragility Index was first described by Walsh et al in 2014 and refers to the minimum number of participants whose status would have to change from a non-event to an event in order to change statistically significant results to non-significant results</w:t>
      </w:r>
      <w:r w:rsidRPr="007945B5">
        <w:rPr>
          <w:rFonts w:ascii="Calibri" w:eastAsia="Times New Roman" w:hAnsi="Calibri" w:cs="Calibri"/>
          <w:color w:val="000000"/>
          <w:sz w:val="24"/>
          <w:szCs w:val="24"/>
          <w:vertAlign w:val="superscript"/>
          <w:lang w:eastAsia="en-AU"/>
        </w:rPr>
        <w:t>[1]</w:t>
      </w:r>
      <w:r w:rsidRPr="007945B5">
        <w:rPr>
          <w:rFonts w:ascii="Calibri" w:eastAsia="Times New Roman" w:hAnsi="Calibri" w:cs="Calibri"/>
          <w:color w:val="000000"/>
          <w:sz w:val="24"/>
          <w:szCs w:val="24"/>
          <w:lang w:eastAsia="en-AU"/>
        </w:rPr>
        <w:t>. </w:t>
      </w:r>
    </w:p>
    <w:p w14:paraId="3F2C1994" w14:textId="77777777" w:rsidR="007945B5" w:rsidRPr="007945B5" w:rsidRDefault="007945B5" w:rsidP="007945B5">
      <w:pPr>
        <w:spacing w:after="0" w:line="240" w:lineRule="auto"/>
        <w:rPr>
          <w:rFonts w:ascii="Calibri" w:eastAsia="Times New Roman" w:hAnsi="Calibri" w:cs="Calibri"/>
          <w:color w:val="000000"/>
          <w:sz w:val="24"/>
          <w:szCs w:val="24"/>
          <w:lang w:eastAsia="en-AU"/>
        </w:rPr>
      </w:pPr>
      <w:r w:rsidRPr="007945B5">
        <w:rPr>
          <w:rFonts w:ascii="Times New Roman" w:eastAsia="Times New Roman" w:hAnsi="Times New Roman" w:cs="Times New Roman"/>
          <w:color w:val="000000"/>
          <w:sz w:val="24"/>
          <w:szCs w:val="24"/>
          <w:lang w:val="en-GB" w:eastAsia="en-AU"/>
        </w:rPr>
        <w:t> </w:t>
      </w:r>
    </w:p>
    <w:p w14:paraId="19DE13A7" w14:textId="77777777" w:rsidR="007945B5" w:rsidRPr="007945B5" w:rsidRDefault="007945B5" w:rsidP="007945B5">
      <w:pPr>
        <w:spacing w:after="0" w:line="240" w:lineRule="auto"/>
        <w:rPr>
          <w:rFonts w:ascii="Calibri" w:eastAsia="Times New Roman" w:hAnsi="Calibri" w:cs="Calibri"/>
          <w:color w:val="000000"/>
          <w:sz w:val="24"/>
          <w:szCs w:val="24"/>
          <w:lang w:eastAsia="en-AU"/>
        </w:rPr>
      </w:pPr>
      <w:r w:rsidRPr="007945B5">
        <w:rPr>
          <w:rFonts w:ascii="Calibri" w:eastAsia="Times New Roman" w:hAnsi="Calibri" w:cs="Calibri"/>
          <w:color w:val="000000"/>
          <w:sz w:val="24"/>
          <w:szCs w:val="24"/>
          <w:lang w:eastAsia="en-AU"/>
        </w:rPr>
        <w:t>A higher Fragility Index indicates greater robustness of a RCT and, in the context of an intervention, greater likelihood that a true treatment effect exists</w:t>
      </w:r>
      <w:r w:rsidRPr="007945B5">
        <w:rPr>
          <w:rFonts w:ascii="Calibri" w:eastAsia="Times New Roman" w:hAnsi="Calibri" w:cs="Calibri"/>
          <w:color w:val="000000"/>
          <w:sz w:val="24"/>
          <w:szCs w:val="24"/>
          <w:vertAlign w:val="superscript"/>
          <w:lang w:eastAsia="en-AU"/>
        </w:rPr>
        <w:t>[1]</w:t>
      </w:r>
      <w:r w:rsidRPr="007945B5">
        <w:rPr>
          <w:rFonts w:ascii="Calibri" w:eastAsia="Times New Roman" w:hAnsi="Calibri" w:cs="Calibri"/>
          <w:color w:val="000000"/>
          <w:sz w:val="24"/>
          <w:szCs w:val="24"/>
          <w:lang w:eastAsia="en-AU"/>
        </w:rPr>
        <w:t>.</w:t>
      </w:r>
    </w:p>
    <w:p w14:paraId="77A4B765" w14:textId="77777777" w:rsidR="007945B5" w:rsidRPr="007945B5" w:rsidRDefault="007945B5" w:rsidP="007945B5">
      <w:pPr>
        <w:spacing w:after="0" w:line="240" w:lineRule="auto"/>
        <w:rPr>
          <w:rFonts w:ascii="Calibri" w:eastAsia="Times New Roman" w:hAnsi="Calibri" w:cs="Calibri"/>
          <w:color w:val="000000"/>
          <w:sz w:val="24"/>
          <w:szCs w:val="24"/>
          <w:lang w:eastAsia="en-AU"/>
        </w:rPr>
      </w:pPr>
      <w:r w:rsidRPr="007945B5">
        <w:rPr>
          <w:rFonts w:ascii="Calibri" w:eastAsia="Times New Roman" w:hAnsi="Calibri" w:cs="Calibri"/>
          <w:color w:val="000000"/>
          <w:sz w:val="24"/>
          <w:szCs w:val="24"/>
          <w:lang w:eastAsia="en-AU"/>
        </w:rPr>
        <w:t> </w:t>
      </w:r>
    </w:p>
    <w:p w14:paraId="051C93B5" w14:textId="77777777" w:rsidR="007945B5" w:rsidRPr="007945B5" w:rsidRDefault="007945B5" w:rsidP="007945B5">
      <w:pPr>
        <w:spacing w:after="0" w:line="240" w:lineRule="auto"/>
        <w:rPr>
          <w:rFonts w:ascii="Calibri" w:eastAsia="Times New Roman" w:hAnsi="Calibri" w:cs="Calibri"/>
          <w:color w:val="000000"/>
          <w:sz w:val="24"/>
          <w:szCs w:val="24"/>
          <w:lang w:eastAsia="en-AU"/>
        </w:rPr>
      </w:pPr>
      <w:r w:rsidRPr="007945B5">
        <w:rPr>
          <w:rFonts w:ascii="Calibri" w:eastAsia="Times New Roman" w:hAnsi="Calibri" w:cs="Calibri"/>
          <w:color w:val="000000"/>
          <w:sz w:val="24"/>
          <w:szCs w:val="24"/>
          <w:lang w:eastAsia="en-AU"/>
        </w:rPr>
        <w:t>Subsequent studies indicate that a relatively high proportion of published RCTs demonstrate fragility. A 2016 systematic review of RCTs in critical care reporting a statistically significant effect on mortality found that 42.8% of included trials had a Fragility Index of zero or 1</w:t>
      </w:r>
      <w:r w:rsidRPr="007945B5">
        <w:rPr>
          <w:rFonts w:ascii="Calibri" w:eastAsia="Times New Roman" w:hAnsi="Calibri" w:cs="Calibri"/>
          <w:color w:val="000000"/>
          <w:sz w:val="24"/>
          <w:szCs w:val="24"/>
          <w:vertAlign w:val="superscript"/>
          <w:lang w:eastAsia="en-AU"/>
        </w:rPr>
        <w:t>[2]</w:t>
      </w:r>
      <w:r w:rsidRPr="007945B5">
        <w:rPr>
          <w:rFonts w:ascii="Calibri" w:eastAsia="Times New Roman" w:hAnsi="Calibri" w:cs="Calibri"/>
          <w:color w:val="000000"/>
          <w:sz w:val="24"/>
          <w:szCs w:val="24"/>
          <w:lang w:eastAsia="en-AU"/>
        </w:rPr>
        <w:t>.</w:t>
      </w:r>
    </w:p>
    <w:p w14:paraId="345B3D87" w14:textId="484892D8" w:rsidR="007945B5" w:rsidRDefault="007945B5" w:rsidP="007945B5">
      <w:pPr>
        <w:spacing w:after="0" w:line="240" w:lineRule="auto"/>
        <w:rPr>
          <w:rFonts w:ascii="Calibri" w:eastAsia="Times New Roman" w:hAnsi="Calibri" w:cs="Calibri"/>
          <w:color w:val="000000"/>
          <w:sz w:val="24"/>
          <w:szCs w:val="24"/>
          <w:lang w:eastAsia="en-AU"/>
        </w:rPr>
      </w:pPr>
      <w:r w:rsidRPr="007945B5">
        <w:rPr>
          <w:rFonts w:ascii="Calibri" w:eastAsia="Times New Roman" w:hAnsi="Calibri" w:cs="Calibri"/>
          <w:color w:val="000000"/>
          <w:sz w:val="24"/>
          <w:szCs w:val="24"/>
          <w:lang w:eastAsia="en-AU"/>
        </w:rPr>
        <w:t> </w:t>
      </w:r>
    </w:p>
    <w:p w14:paraId="23363EF0" w14:textId="7374D842" w:rsidR="007945B5" w:rsidRDefault="007945B5" w:rsidP="007945B5">
      <w:pPr>
        <w:spacing w:after="0" w:line="240" w:lineRule="auto"/>
        <w:rPr>
          <w:rFonts w:ascii="Calibri" w:eastAsia="Times New Roman" w:hAnsi="Calibri" w:cs="Calibri"/>
          <w:color w:val="000000"/>
          <w:sz w:val="24"/>
          <w:szCs w:val="24"/>
          <w:lang w:eastAsia="en-AU"/>
        </w:rPr>
      </w:pPr>
      <w:r>
        <w:rPr>
          <w:rFonts w:ascii="Calibri" w:eastAsia="Times New Roman" w:hAnsi="Calibri" w:cs="Calibri"/>
          <w:color w:val="000000"/>
          <w:sz w:val="24"/>
          <w:szCs w:val="24"/>
          <w:lang w:eastAsia="en-AU"/>
        </w:rPr>
        <w:t>Statement of Methods</w:t>
      </w:r>
    </w:p>
    <w:p w14:paraId="24C1AA55" w14:textId="6FAE7E2C" w:rsidR="007945B5" w:rsidRDefault="007945B5" w:rsidP="007945B5">
      <w:pPr>
        <w:spacing w:after="0" w:line="240" w:lineRule="auto"/>
        <w:rPr>
          <w:rFonts w:ascii="Calibri" w:eastAsia="Times New Roman" w:hAnsi="Calibri" w:cs="Calibri"/>
          <w:color w:val="000000"/>
          <w:sz w:val="24"/>
          <w:szCs w:val="24"/>
          <w:lang w:eastAsia="en-AU"/>
        </w:rPr>
      </w:pPr>
      <w:r>
        <w:rPr>
          <w:rFonts w:ascii="Calibri" w:eastAsia="Times New Roman" w:hAnsi="Calibri" w:cs="Calibri"/>
          <w:color w:val="000000"/>
          <w:sz w:val="24"/>
          <w:szCs w:val="24"/>
          <w:lang w:eastAsia="en-AU"/>
        </w:rPr>
        <w:t xml:space="preserve">We conducted a literature search in </w:t>
      </w:r>
      <w:proofErr w:type="spellStart"/>
      <w:r>
        <w:rPr>
          <w:rFonts w:ascii="Calibri" w:eastAsia="Times New Roman" w:hAnsi="Calibri" w:cs="Calibri"/>
          <w:color w:val="000000"/>
          <w:sz w:val="24"/>
          <w:szCs w:val="24"/>
          <w:lang w:eastAsia="en-AU"/>
        </w:rPr>
        <w:t>Pubmed</w:t>
      </w:r>
      <w:proofErr w:type="spellEnd"/>
      <w:r>
        <w:rPr>
          <w:rFonts w:ascii="Calibri" w:eastAsia="Times New Roman" w:hAnsi="Calibri" w:cs="Calibri"/>
          <w:color w:val="000000"/>
          <w:sz w:val="24"/>
          <w:szCs w:val="24"/>
          <w:lang w:eastAsia="en-AU"/>
        </w:rPr>
        <w:t xml:space="preserve"> for articles including the use of “Fragility Index” to assess previous research.  Whilst there has been an increase in usage of this statistical test, it is still not widely used primarily in original research articles.  </w:t>
      </w:r>
    </w:p>
    <w:p w14:paraId="670569FA" w14:textId="77777777" w:rsidR="007945B5" w:rsidRDefault="007945B5" w:rsidP="007945B5">
      <w:pPr>
        <w:spacing w:after="0" w:line="240" w:lineRule="auto"/>
        <w:rPr>
          <w:rFonts w:ascii="Calibri" w:eastAsia="Times New Roman" w:hAnsi="Calibri" w:cs="Calibri"/>
          <w:color w:val="000000"/>
          <w:sz w:val="24"/>
          <w:szCs w:val="24"/>
          <w:lang w:eastAsia="en-AU"/>
        </w:rPr>
      </w:pPr>
    </w:p>
    <w:p w14:paraId="6B3D088A" w14:textId="103B26B4" w:rsidR="007945B5" w:rsidRPr="007945B5" w:rsidRDefault="007945B5" w:rsidP="007945B5">
      <w:pPr>
        <w:spacing w:after="0" w:line="240" w:lineRule="auto"/>
        <w:rPr>
          <w:rFonts w:ascii="Calibri" w:eastAsia="Times New Roman" w:hAnsi="Calibri" w:cs="Calibri"/>
          <w:color w:val="000000"/>
          <w:sz w:val="24"/>
          <w:szCs w:val="24"/>
          <w:lang w:eastAsia="en-AU"/>
        </w:rPr>
      </w:pPr>
      <w:r>
        <w:rPr>
          <w:rFonts w:ascii="Calibri" w:eastAsia="Times New Roman" w:hAnsi="Calibri" w:cs="Calibri"/>
          <w:color w:val="000000"/>
          <w:sz w:val="24"/>
          <w:szCs w:val="24"/>
          <w:lang w:eastAsia="en-AU"/>
        </w:rPr>
        <w:t>Conclusion</w:t>
      </w:r>
    </w:p>
    <w:p w14:paraId="2B54356B" w14:textId="77777777" w:rsidR="007945B5" w:rsidRPr="007945B5" w:rsidRDefault="007945B5" w:rsidP="007945B5">
      <w:pPr>
        <w:spacing w:after="0" w:line="240" w:lineRule="auto"/>
        <w:rPr>
          <w:rFonts w:ascii="Calibri" w:eastAsia="Times New Roman" w:hAnsi="Calibri" w:cs="Calibri"/>
          <w:color w:val="000000"/>
          <w:sz w:val="24"/>
          <w:szCs w:val="24"/>
          <w:lang w:eastAsia="en-AU"/>
        </w:rPr>
      </w:pPr>
      <w:r w:rsidRPr="007945B5">
        <w:rPr>
          <w:rFonts w:ascii="Calibri" w:eastAsia="Times New Roman" w:hAnsi="Calibri" w:cs="Calibri"/>
          <w:color w:val="000000"/>
          <w:sz w:val="24"/>
          <w:szCs w:val="24"/>
          <w:lang w:eastAsia="en-AU"/>
        </w:rPr>
        <w:t>We review the utility and limitations of Fragility Index. We advocate for surgeons to look beyond the p value and consider Fragility Index when evaluating surgical research and before applying statistically significant results to clinical practice.</w:t>
      </w:r>
    </w:p>
    <w:p w14:paraId="58920763" w14:textId="77777777" w:rsidR="007945B5" w:rsidRPr="007945B5" w:rsidRDefault="007945B5" w:rsidP="007945B5">
      <w:pPr>
        <w:spacing w:after="0" w:line="240" w:lineRule="auto"/>
        <w:rPr>
          <w:rFonts w:ascii="Calibri" w:eastAsia="Times New Roman" w:hAnsi="Calibri" w:cs="Calibri"/>
          <w:color w:val="000000"/>
          <w:sz w:val="24"/>
          <w:szCs w:val="24"/>
          <w:lang w:eastAsia="en-AU"/>
        </w:rPr>
      </w:pPr>
      <w:r w:rsidRPr="007945B5">
        <w:rPr>
          <w:rFonts w:ascii="Calibri" w:eastAsia="Times New Roman" w:hAnsi="Calibri" w:cs="Calibri"/>
          <w:color w:val="000000"/>
          <w:sz w:val="24"/>
          <w:szCs w:val="24"/>
          <w:lang w:eastAsia="en-AU"/>
        </w:rPr>
        <w:t> </w:t>
      </w:r>
    </w:p>
    <w:p w14:paraId="75323FAC" w14:textId="77777777" w:rsidR="007945B5" w:rsidRPr="007945B5" w:rsidRDefault="007945B5" w:rsidP="007945B5">
      <w:pPr>
        <w:spacing w:after="0" w:line="240" w:lineRule="auto"/>
        <w:ind w:left="720"/>
        <w:rPr>
          <w:rFonts w:ascii="Calibri" w:eastAsia="Times New Roman" w:hAnsi="Calibri" w:cs="Calibri"/>
          <w:sz w:val="24"/>
          <w:szCs w:val="24"/>
          <w:lang w:eastAsia="en-AU"/>
        </w:rPr>
      </w:pPr>
      <w:r w:rsidRPr="007945B5">
        <w:rPr>
          <w:rFonts w:ascii="Calibri" w:eastAsia="Times New Roman" w:hAnsi="Calibri" w:cs="Calibri"/>
          <w:sz w:val="24"/>
          <w:szCs w:val="24"/>
          <w:lang w:eastAsia="en-AU"/>
        </w:rPr>
        <w:t>1.</w:t>
      </w:r>
      <w:r w:rsidRPr="007945B5">
        <w:rPr>
          <w:rFonts w:ascii="Times New Roman" w:eastAsia="Times New Roman" w:hAnsi="Times New Roman" w:cs="Times New Roman"/>
          <w:sz w:val="24"/>
          <w:szCs w:val="24"/>
          <w:lang w:eastAsia="en-AU"/>
        </w:rPr>
        <w:t>     </w:t>
      </w:r>
      <w:r w:rsidRPr="007945B5">
        <w:rPr>
          <w:rFonts w:ascii="Calibri" w:eastAsia="Times New Roman" w:hAnsi="Calibri" w:cs="Calibri"/>
          <w:sz w:val="24"/>
          <w:szCs w:val="24"/>
          <w:lang w:eastAsia="en-AU"/>
        </w:rPr>
        <w:t xml:space="preserve">Walsh, M., </w:t>
      </w:r>
      <w:proofErr w:type="spellStart"/>
      <w:r w:rsidRPr="007945B5">
        <w:rPr>
          <w:rFonts w:ascii="Calibri" w:eastAsia="Times New Roman" w:hAnsi="Calibri" w:cs="Calibri"/>
          <w:sz w:val="24"/>
          <w:szCs w:val="24"/>
          <w:lang w:eastAsia="en-AU"/>
        </w:rPr>
        <w:t>Srinathan</w:t>
      </w:r>
      <w:proofErr w:type="spellEnd"/>
      <w:r w:rsidRPr="007945B5">
        <w:rPr>
          <w:rFonts w:ascii="Calibri" w:eastAsia="Times New Roman" w:hAnsi="Calibri" w:cs="Calibri"/>
          <w:sz w:val="24"/>
          <w:szCs w:val="24"/>
          <w:lang w:eastAsia="en-AU"/>
        </w:rPr>
        <w:t>, S., McAuley, D. et al, 2014. The statistical significance of randomized controlled trial results is frequently fragile: a case for a Fragility Index. </w:t>
      </w:r>
      <w:r w:rsidRPr="007945B5">
        <w:rPr>
          <w:rFonts w:ascii="Calibri" w:eastAsia="Times New Roman" w:hAnsi="Calibri" w:cs="Calibri"/>
          <w:i/>
          <w:iCs/>
          <w:sz w:val="24"/>
          <w:szCs w:val="24"/>
          <w:lang w:eastAsia="en-AU"/>
        </w:rPr>
        <w:t>Journal of Clinical Epidemiology</w:t>
      </w:r>
      <w:r w:rsidRPr="007945B5">
        <w:rPr>
          <w:rFonts w:ascii="Calibri" w:eastAsia="Times New Roman" w:hAnsi="Calibri" w:cs="Calibri"/>
          <w:sz w:val="24"/>
          <w:szCs w:val="24"/>
          <w:lang w:eastAsia="en-AU"/>
        </w:rPr>
        <w:t>, 67(6), pp.622-628.</w:t>
      </w:r>
    </w:p>
    <w:p w14:paraId="23C19A1B" w14:textId="77777777" w:rsidR="007945B5" w:rsidRPr="007945B5" w:rsidRDefault="007945B5" w:rsidP="007945B5">
      <w:pPr>
        <w:spacing w:after="0" w:line="240" w:lineRule="auto"/>
        <w:ind w:left="720"/>
        <w:rPr>
          <w:rFonts w:ascii="Calibri" w:eastAsia="Times New Roman" w:hAnsi="Calibri" w:cs="Calibri"/>
          <w:sz w:val="24"/>
          <w:szCs w:val="24"/>
          <w:lang w:eastAsia="en-AU"/>
        </w:rPr>
      </w:pPr>
      <w:r w:rsidRPr="007945B5">
        <w:rPr>
          <w:rFonts w:ascii="Calibri" w:eastAsia="Times New Roman" w:hAnsi="Calibri" w:cs="Calibri"/>
          <w:sz w:val="24"/>
          <w:szCs w:val="24"/>
          <w:lang w:eastAsia="en-AU"/>
        </w:rPr>
        <w:t>2.</w:t>
      </w:r>
      <w:r w:rsidRPr="007945B5">
        <w:rPr>
          <w:rFonts w:ascii="Times New Roman" w:eastAsia="Times New Roman" w:hAnsi="Times New Roman" w:cs="Times New Roman"/>
          <w:sz w:val="24"/>
          <w:szCs w:val="24"/>
          <w:lang w:eastAsia="en-AU"/>
        </w:rPr>
        <w:t>     </w:t>
      </w:r>
      <w:r w:rsidRPr="007945B5">
        <w:rPr>
          <w:rFonts w:ascii="Calibri" w:eastAsia="Times New Roman" w:hAnsi="Calibri" w:cs="Calibri"/>
          <w:sz w:val="24"/>
          <w:szCs w:val="24"/>
          <w:lang w:eastAsia="en-AU"/>
        </w:rPr>
        <w:t xml:space="preserve">Ridgeon, E., Young, P., </w:t>
      </w:r>
      <w:proofErr w:type="spellStart"/>
      <w:r w:rsidRPr="007945B5">
        <w:rPr>
          <w:rFonts w:ascii="Calibri" w:eastAsia="Times New Roman" w:hAnsi="Calibri" w:cs="Calibri"/>
          <w:sz w:val="24"/>
          <w:szCs w:val="24"/>
          <w:lang w:eastAsia="en-AU"/>
        </w:rPr>
        <w:t>Bellomo</w:t>
      </w:r>
      <w:proofErr w:type="spellEnd"/>
      <w:r w:rsidRPr="007945B5">
        <w:rPr>
          <w:rFonts w:ascii="Calibri" w:eastAsia="Times New Roman" w:hAnsi="Calibri" w:cs="Calibri"/>
          <w:sz w:val="24"/>
          <w:szCs w:val="24"/>
          <w:lang w:eastAsia="en-AU"/>
        </w:rPr>
        <w:t xml:space="preserve"> et al, 2016. The Fragility Index in </w:t>
      </w:r>
      <w:proofErr w:type="spellStart"/>
      <w:r w:rsidRPr="007945B5">
        <w:rPr>
          <w:rFonts w:ascii="Calibri" w:eastAsia="Times New Roman" w:hAnsi="Calibri" w:cs="Calibri"/>
          <w:sz w:val="24"/>
          <w:szCs w:val="24"/>
          <w:lang w:eastAsia="en-AU"/>
        </w:rPr>
        <w:t>Multicenter</w:t>
      </w:r>
      <w:proofErr w:type="spellEnd"/>
      <w:r w:rsidRPr="007945B5">
        <w:rPr>
          <w:rFonts w:ascii="Calibri" w:eastAsia="Times New Roman" w:hAnsi="Calibri" w:cs="Calibri"/>
          <w:sz w:val="24"/>
          <w:szCs w:val="24"/>
          <w:lang w:eastAsia="en-AU"/>
        </w:rPr>
        <w:t xml:space="preserve"> Randomized Controlled Critical Care Trials*. </w:t>
      </w:r>
      <w:r w:rsidRPr="007945B5">
        <w:rPr>
          <w:rFonts w:ascii="Calibri" w:eastAsia="Times New Roman" w:hAnsi="Calibri" w:cs="Calibri"/>
          <w:i/>
          <w:iCs/>
          <w:sz w:val="24"/>
          <w:szCs w:val="24"/>
          <w:lang w:eastAsia="en-AU"/>
        </w:rPr>
        <w:t>Critical Care Medicine</w:t>
      </w:r>
      <w:r w:rsidRPr="007945B5">
        <w:rPr>
          <w:rFonts w:ascii="Calibri" w:eastAsia="Times New Roman" w:hAnsi="Calibri" w:cs="Calibri"/>
          <w:sz w:val="24"/>
          <w:szCs w:val="24"/>
          <w:lang w:eastAsia="en-AU"/>
        </w:rPr>
        <w:t>, 44(7), pp.1278-1284.</w:t>
      </w:r>
    </w:p>
    <w:p w14:paraId="5541B195" w14:textId="3395BD4A" w:rsidR="007945B5" w:rsidRPr="007945B5" w:rsidRDefault="007945B5" w:rsidP="007945B5">
      <w:pPr>
        <w:spacing w:after="0" w:line="240" w:lineRule="auto"/>
        <w:rPr>
          <w:rFonts w:ascii="Times New Roman" w:eastAsia="Times New Roman" w:hAnsi="Times New Roman" w:cs="Times New Roman"/>
          <w:sz w:val="24"/>
          <w:szCs w:val="24"/>
          <w:lang w:eastAsia="en-AU"/>
        </w:rPr>
      </w:pPr>
      <w:r w:rsidRPr="007945B5">
        <w:rPr>
          <w:rFonts w:ascii="Times New Roman" w:eastAsia="Times New Roman" w:hAnsi="Times New Roman" w:cs="Times New Roman"/>
          <w:noProof/>
          <w:sz w:val="24"/>
          <w:szCs w:val="24"/>
          <w:lang w:eastAsia="en-AU"/>
        </w:rPr>
        <w:drawing>
          <wp:inline distT="0" distB="0" distL="0" distR="0" wp14:anchorId="04A34A5D" wp14:editId="696DC7C5">
            <wp:extent cx="9525" cy="9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31D212EE" w14:textId="77777777" w:rsidR="00D41CA7" w:rsidRDefault="00D41CA7"/>
    <w:sectPr w:rsidR="00D41CA7" w:rsidSect="00D41CA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5B5"/>
    <w:rsid w:val="007945B5"/>
    <w:rsid w:val="00D41CA7"/>
    <w:rsid w:val="00E03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F8FA6"/>
  <w15:chartTrackingRefBased/>
  <w15:docId w15:val="{9AE493DE-864B-42A4-B0F9-2D1C45C34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CA7"/>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
    <w:name w:val="il"/>
    <w:basedOn w:val="DefaultParagraphFont"/>
    <w:rsid w:val="007945B5"/>
  </w:style>
  <w:style w:type="paragraph" w:styleId="NormalWeb">
    <w:name w:val="Normal (Web)"/>
    <w:basedOn w:val="Normal"/>
    <w:uiPriority w:val="99"/>
    <w:semiHidden/>
    <w:unhideWhenUsed/>
    <w:rsid w:val="007945B5"/>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9476440">
      <w:bodyDiv w:val="1"/>
      <w:marLeft w:val="0"/>
      <w:marRight w:val="0"/>
      <w:marTop w:val="0"/>
      <w:marBottom w:val="0"/>
      <w:divBdr>
        <w:top w:val="none" w:sz="0" w:space="0" w:color="auto"/>
        <w:left w:val="none" w:sz="0" w:space="0" w:color="auto"/>
        <w:bottom w:val="none" w:sz="0" w:space="0" w:color="auto"/>
        <w:right w:val="none" w:sz="0" w:space="0" w:color="auto"/>
      </w:divBdr>
      <w:divsChild>
        <w:div w:id="906647895">
          <w:marLeft w:val="0"/>
          <w:marRight w:val="0"/>
          <w:marTop w:val="0"/>
          <w:marBottom w:val="0"/>
          <w:divBdr>
            <w:top w:val="none" w:sz="0" w:space="0" w:color="auto"/>
            <w:left w:val="none" w:sz="0" w:space="0" w:color="auto"/>
            <w:bottom w:val="none" w:sz="0" w:space="0" w:color="auto"/>
            <w:right w:val="none" w:sz="0" w:space="0" w:color="auto"/>
          </w:divBdr>
          <w:divsChild>
            <w:div w:id="1597664572">
              <w:marLeft w:val="0"/>
              <w:marRight w:val="0"/>
              <w:marTop w:val="0"/>
              <w:marBottom w:val="0"/>
              <w:divBdr>
                <w:top w:val="none" w:sz="0" w:space="0" w:color="auto"/>
                <w:left w:val="none" w:sz="0" w:space="0" w:color="auto"/>
                <w:bottom w:val="none" w:sz="0" w:space="0" w:color="auto"/>
                <w:right w:val="none" w:sz="0" w:space="0" w:color="auto"/>
              </w:divBdr>
            </w:div>
          </w:divsChild>
        </w:div>
        <w:div w:id="1412192648">
          <w:marLeft w:val="0"/>
          <w:marRight w:val="0"/>
          <w:marTop w:val="0"/>
          <w:marBottom w:val="0"/>
          <w:divBdr>
            <w:top w:val="none" w:sz="0" w:space="0" w:color="auto"/>
            <w:left w:val="none" w:sz="0" w:space="0" w:color="auto"/>
            <w:bottom w:val="none" w:sz="0" w:space="0" w:color="auto"/>
            <w:right w:val="none" w:sz="0" w:space="0" w:color="auto"/>
          </w:divBdr>
          <w:divsChild>
            <w:div w:id="15160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322</Words>
  <Characters>1841</Characters>
  <Application>Microsoft Office Word</Application>
  <DocSecurity>0</DocSecurity>
  <Lines>15</Lines>
  <Paragraphs>4</Paragraphs>
  <ScaleCrop>false</ScaleCrop>
  <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Peacock</dc:creator>
  <cp:keywords/>
  <dc:description/>
  <cp:lastModifiedBy>Timothy Peacock</cp:lastModifiedBy>
  <cp:revision>2</cp:revision>
  <dcterms:created xsi:type="dcterms:W3CDTF">2022-02-28T10:45:00Z</dcterms:created>
  <dcterms:modified xsi:type="dcterms:W3CDTF">2022-02-28T10:54:00Z</dcterms:modified>
</cp:coreProperties>
</file>