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40"/>
        <w:ind w:left="0" w:right="0" w:firstLine="0"/>
        <w:jc w:val="left"/>
        <w:rPr>
          <w:rFonts w:ascii="Helvetica" w:cs="Helvetica" w:hAnsi="Helvetica" w:eastAsia="Helvetica"/>
          <w:b w:val="1"/>
          <w:bCs w:val="1"/>
          <w:shd w:val="clear" w:color="auto" w:fill="ffffff"/>
          <w:rtl w:val="0"/>
        </w:rPr>
      </w:pPr>
      <w:r>
        <w:rPr>
          <w:rFonts w:ascii="Helvetica" w:hAnsi="Helvetica"/>
          <w:b w:val="1"/>
          <w:bCs w:val="1"/>
          <w:shd w:val="clear" w:color="auto" w:fill="ffffff"/>
          <w:rtl w:val="0"/>
          <w:lang w:val="en-US"/>
        </w:rPr>
        <w:t xml:space="preserve">Pain Management in the Intensive Care Unit </w:t>
      </w:r>
    </w:p>
    <w:p>
      <w:pPr>
        <w:pStyle w:val="Default"/>
        <w:bidi w:val="0"/>
        <w:spacing w:before="0" w:after="240"/>
        <w:ind w:left="0" w:right="0" w:firstLine="0"/>
        <w:jc w:val="left"/>
        <w:rPr>
          <w:rFonts w:ascii="Helvetica" w:cs="Helvetica" w:hAnsi="Helvetica" w:eastAsia="Helvetica"/>
          <w:shd w:val="clear" w:color="auto" w:fill="ffffff"/>
          <w:rtl w:val="0"/>
        </w:rPr>
      </w:pPr>
      <w:r>
        <w:rPr>
          <w:rFonts w:ascii="Helvetica" w:hAnsi="Helvetica"/>
          <w:shd w:val="clear" w:color="auto" w:fill="ffffff"/>
          <w:rtl w:val="0"/>
          <w:lang w:val="en-US"/>
        </w:rPr>
        <w:t xml:space="preserve">Pipe, M., Dixon, J. </w:t>
      </w:r>
    </w:p>
    <w:p>
      <w:pPr>
        <w:pStyle w:val="Default"/>
        <w:bidi w:val="0"/>
        <w:spacing w:before="0" w:after="240"/>
        <w:ind w:left="0" w:right="0" w:firstLine="0"/>
        <w:jc w:val="left"/>
        <w:rPr>
          <w:rFonts w:ascii="Helvetica" w:cs="Helvetica" w:hAnsi="Helvetica" w:eastAsia="Helvetica"/>
          <w:shd w:val="clear" w:color="auto" w:fill="ffffff"/>
          <w:rtl w:val="0"/>
        </w:rPr>
      </w:pPr>
      <w:r>
        <w:rPr>
          <w:rFonts w:ascii="Helvetica" w:hAnsi="Helvetica"/>
          <w:shd w:val="clear" w:color="auto" w:fill="ffffff"/>
          <w:rtl w:val="0"/>
          <w:lang w:val="en-US"/>
        </w:rPr>
        <w:t>Epsom and St Helier University Hospitals, London.</w:t>
      </w:r>
    </w:p>
    <w:p>
      <w:pPr>
        <w:pStyle w:val="Default"/>
        <w:bidi w:val="0"/>
        <w:spacing w:before="0" w:after="240"/>
        <w:ind w:left="0" w:right="0" w:firstLine="0"/>
        <w:jc w:val="left"/>
        <w:rPr>
          <w:rFonts w:ascii="Helvetica" w:cs="Helvetica" w:hAnsi="Helvetica" w:eastAsia="Helvetica"/>
          <w:shd w:val="clear" w:color="auto" w:fill="ffffff"/>
          <w:rtl w:val="0"/>
        </w:rPr>
      </w:pPr>
      <w:r>
        <w:rPr>
          <w:rFonts w:ascii="Helvetica" w:hAnsi="Helvetica"/>
          <w:shd w:val="clear" w:color="auto" w:fill="ffffff"/>
          <w:rtl w:val="0"/>
          <w:lang w:val="en-US"/>
        </w:rPr>
        <w:t>Words = 506.</w:t>
      </w:r>
    </w:p>
    <w:p>
      <w:pPr>
        <w:pStyle w:val="Default"/>
        <w:bidi w:val="0"/>
        <w:spacing w:before="0" w:after="240"/>
        <w:ind w:left="0" w:right="0" w:firstLine="0"/>
        <w:jc w:val="left"/>
        <w:rPr>
          <w:rFonts w:ascii="Helvetica" w:cs="Helvetica" w:hAnsi="Helvetica" w:eastAsia="Helvetica"/>
          <w:b w:val="1"/>
          <w:bCs w:val="1"/>
          <w:shd w:val="clear" w:color="auto" w:fill="ffffff"/>
          <w:rtl w:val="0"/>
        </w:rPr>
      </w:pPr>
      <w:r>
        <w:rPr>
          <w:rFonts w:ascii="Helvetica" w:hAnsi="Helvetica"/>
          <w:b w:val="1"/>
          <w:bCs w:val="1"/>
          <w:shd w:val="clear" w:color="auto" w:fill="ffffff"/>
          <w:rtl w:val="0"/>
          <w:lang w:val="en-US"/>
        </w:rPr>
        <w:t xml:space="preserve">Purpose of study </w:t>
      </w:r>
    </w:p>
    <w:p>
      <w:pPr>
        <w:pStyle w:val="Default"/>
        <w:bidi w:val="0"/>
        <w:spacing w:before="0" w:after="240"/>
        <w:ind w:left="0" w:right="0" w:firstLine="0"/>
        <w:jc w:val="left"/>
        <w:rPr>
          <w:rFonts w:ascii="Helvetica" w:cs="Helvetica" w:hAnsi="Helvetica" w:eastAsia="Helvetica"/>
          <w:shd w:val="clear" w:color="auto" w:fill="ffffff"/>
          <w:rtl w:val="0"/>
        </w:rPr>
      </w:pPr>
      <w:r>
        <w:rPr>
          <w:rFonts w:ascii="Helvetica" w:hAnsi="Helvetica"/>
          <w:shd w:val="clear" w:color="auto" w:fill="ffffff"/>
          <w:rtl w:val="0"/>
          <w:lang w:val="en-US"/>
        </w:rPr>
        <w:t xml:space="preserve">Adult patients in the intensive care unit (ICU) are known to experience moderate to severe levels of pain. The Critical Care Pain Observation Tool (CPOT) sets out to assess and manage pain safely and effectively and is a valid and reliable method for monitoring pain in medical, post operative or trauma (excluding brain injury) adult patients who are unable to self report. This study set out to investigate the use of, and raise awareness of this tool in the adult ICU. </w:t>
      </w:r>
    </w:p>
    <w:p>
      <w:pPr>
        <w:pStyle w:val="Default"/>
        <w:bidi w:val="0"/>
        <w:spacing w:before="0" w:after="240"/>
        <w:ind w:left="0" w:right="0" w:firstLine="0"/>
        <w:jc w:val="left"/>
        <w:rPr>
          <w:rFonts w:ascii="Helvetica" w:cs="Helvetica" w:hAnsi="Helvetica" w:eastAsia="Helvetica"/>
          <w:shd w:val="clear" w:color="auto" w:fill="ffffff"/>
          <w:rtl w:val="0"/>
        </w:rPr>
      </w:pPr>
      <w:r>
        <w:rPr>
          <w:rFonts w:ascii="Helvetica" w:hAnsi="Helvetica"/>
          <w:shd w:val="clear" w:color="auto" w:fill="ffffff"/>
          <w:rtl w:val="0"/>
          <w:lang w:val="en-US"/>
        </w:rPr>
        <w:t xml:space="preserve">We set out to </w:t>
      </w:r>
      <w:r>
        <w:rPr>
          <w:rFonts w:ascii="Helvetica" w:hAnsi="Helvetica"/>
          <w:shd w:val="clear" w:color="auto" w:fill="ffffff"/>
          <w:rtl w:val="0"/>
          <w:lang w:val="en-US"/>
        </w:rPr>
        <w:t xml:space="preserve">investigate and raise awareness of the </w:t>
      </w:r>
      <w:r>
        <w:rPr>
          <w:rFonts w:ascii="Helvetica" w:hAnsi="Helvetica" w:hint="default"/>
          <w:shd w:val="clear" w:color="auto" w:fill="ffffff"/>
          <w:rtl w:val="1"/>
          <w:lang w:val="ar-SA" w:bidi="ar-SA"/>
        </w:rPr>
        <w:t>“</w:t>
      </w:r>
      <w:r>
        <w:rPr>
          <w:rFonts w:ascii="Helvetica" w:hAnsi="Helvetica"/>
          <w:shd w:val="clear" w:color="auto" w:fill="ffffff"/>
          <w:rtl w:val="0"/>
          <w:lang w:val="en-US"/>
        </w:rPr>
        <w:t>Critical Care: Pain, Agitation/ Sedation and Delirium, Immobility and Sleep Disruption (PADIS) - Prevention, Assessment and Management Guideline</w:t>
      </w:r>
      <w:r>
        <w:rPr>
          <w:rFonts w:ascii="Helvetica" w:hAnsi="Helvetica" w:hint="default"/>
          <w:shd w:val="clear" w:color="auto" w:fill="ffffff"/>
          <w:rtl w:val="0"/>
        </w:rPr>
        <w:t xml:space="preserve">” </w:t>
      </w:r>
      <w:r>
        <w:rPr>
          <w:rFonts w:ascii="Helvetica" w:hAnsi="Helvetica"/>
          <w:shd w:val="clear" w:color="auto" w:fill="ffffff"/>
          <w:rtl w:val="0"/>
          <w:lang w:val="en-US"/>
        </w:rPr>
        <w:t>(PADIS Guideline) and Critical Care Pain observation tool (CPOT tool).</w:t>
      </w:r>
    </w:p>
    <w:p>
      <w:pPr>
        <w:pStyle w:val="Default"/>
        <w:bidi w:val="0"/>
        <w:spacing w:before="0" w:after="240"/>
        <w:ind w:left="0" w:right="0" w:firstLine="0"/>
        <w:jc w:val="left"/>
        <w:rPr>
          <w:rFonts w:ascii="Helvetica" w:cs="Helvetica" w:hAnsi="Helvetica" w:eastAsia="Helvetica"/>
          <w:shd w:val="clear" w:color="auto" w:fill="ffffff"/>
          <w:rtl w:val="0"/>
        </w:rPr>
      </w:pPr>
      <w:r>
        <w:rPr>
          <w:rFonts w:ascii="Helvetica" w:hAnsi="Helvetica"/>
          <w:shd w:val="clear" w:color="auto" w:fill="ffffff"/>
          <w:rtl w:val="0"/>
          <w:lang w:val="en-US"/>
        </w:rPr>
        <w:t>We assessed</w:t>
      </w:r>
      <w:r>
        <w:rPr>
          <w:rFonts w:ascii="Helvetica" w:hAnsi="Helvetica"/>
          <w:shd w:val="clear" w:color="auto" w:fill="ffffff"/>
          <w:rtl w:val="0"/>
          <w:lang w:val="en-US"/>
        </w:rPr>
        <w:t xml:space="preserve"> medical records to determine use and compliance of the </w:t>
      </w:r>
      <w:r>
        <w:rPr>
          <w:rFonts w:ascii="Helvetica" w:hAnsi="Helvetica" w:hint="default"/>
          <w:shd w:val="clear" w:color="auto" w:fill="ffffff"/>
          <w:rtl w:val="1"/>
          <w:lang w:val="ar-SA" w:bidi="ar-SA"/>
        </w:rPr>
        <w:t>“</w:t>
      </w:r>
      <w:r>
        <w:rPr>
          <w:rFonts w:ascii="Helvetica" w:hAnsi="Helvetica"/>
          <w:shd w:val="clear" w:color="auto" w:fill="ffffff"/>
          <w:rtl w:val="0"/>
          <w:lang w:val="en-US"/>
        </w:rPr>
        <w:t>Critical Care: Pain, Agitation/ Sedation and Delirium, Immobility and Sleep Disruption (PADIS) - Prevention, Assessment and Management Guideline</w:t>
      </w:r>
      <w:r>
        <w:rPr>
          <w:rFonts w:ascii="Helvetica" w:hAnsi="Helvetica" w:hint="default"/>
          <w:shd w:val="clear" w:color="auto" w:fill="ffffff"/>
          <w:rtl w:val="0"/>
        </w:rPr>
        <w:t xml:space="preserve">” </w:t>
      </w:r>
      <w:r>
        <w:rPr>
          <w:rFonts w:ascii="Helvetica" w:hAnsi="Helvetica"/>
          <w:shd w:val="clear" w:color="auto" w:fill="ffffff"/>
          <w:rtl w:val="0"/>
          <w:lang w:val="en-US"/>
        </w:rPr>
        <w:t>and the Critical Care Pain observation tool (CPOT).</w:t>
      </w:r>
    </w:p>
    <w:p>
      <w:pPr>
        <w:pStyle w:val="Default"/>
        <w:bidi w:val="0"/>
        <w:spacing w:before="0" w:after="240"/>
        <w:ind w:left="0" w:right="0" w:firstLine="0"/>
        <w:jc w:val="left"/>
        <w:rPr>
          <w:rFonts w:ascii="Helvetica" w:cs="Helvetica" w:hAnsi="Helvetica" w:eastAsia="Helvetica"/>
          <w:b w:val="0"/>
          <w:bCs w:val="0"/>
          <w:shd w:val="clear" w:color="auto" w:fill="ffffff"/>
          <w:rtl w:val="0"/>
        </w:rPr>
      </w:pPr>
      <w:r>
        <w:rPr>
          <w:rFonts w:ascii="Helvetica" w:hAnsi="Helvetica"/>
          <w:b w:val="1"/>
          <w:bCs w:val="1"/>
          <w:shd w:val="clear" w:color="auto" w:fill="ffffff"/>
          <w:rtl w:val="0"/>
          <w:lang w:val="en-US"/>
        </w:rPr>
        <w:t>Method</w:t>
      </w:r>
      <w:r>
        <w:rPr>
          <w:rFonts w:ascii="Helvetica" w:hAnsi="Helvetica"/>
          <w:b w:val="1"/>
          <w:bCs w:val="1"/>
          <w:shd w:val="clear" w:color="auto" w:fill="ffffff"/>
          <w:rtl w:val="0"/>
          <w:lang w:val="en-US"/>
        </w:rPr>
        <w:t>s</w:t>
      </w:r>
    </w:p>
    <w:p>
      <w:pPr>
        <w:pStyle w:val="Body"/>
        <w:rPr>
          <w:sz w:val="24"/>
          <w:szCs w:val="24"/>
        </w:rPr>
      </w:pPr>
      <w:r>
        <w:rPr>
          <w:sz w:val="24"/>
          <w:szCs w:val="24"/>
          <w:rtl w:val="0"/>
          <w:lang w:val="en-US"/>
        </w:rPr>
        <w:t xml:space="preserve">In the initial cycle, a snapshot audit was completed across one day within the ITU. Daily review charts (medical documentation) and nursing bed side charts were assessed for use of the PADIS guideline and CPOT scoring. Verbal questionnaires were used with staff at the bedside as well as medical staff to make enquiries regarding the awareness and use of the PADIS guideline and CPOT tool. PCA drug charts and guidelines were also assessed for patients in the unit at this time with a PCA. Teaching was provided during the initial cycle, and all doctors within the unit were made aware of the guideline. Posters were distributed within the unit and the guideline was given to staff, as well as directing staff to the intranet to read further around the guideline. Information was also circulated by senior nursing colleagues. A further audit cycle was completed to assess the use of the guideline following the intervention. </w:t>
      </w:r>
    </w:p>
    <w:p>
      <w:pPr>
        <w:pStyle w:val="Body"/>
        <w:rPr>
          <w:sz w:val="24"/>
          <w:szCs w:val="24"/>
        </w:rPr>
      </w:pPr>
    </w:p>
    <w:p>
      <w:pPr>
        <w:pStyle w:val="Default"/>
        <w:bidi w:val="0"/>
        <w:spacing w:before="0" w:after="240"/>
        <w:ind w:left="0" w:right="0" w:firstLine="0"/>
        <w:jc w:val="left"/>
        <w:rPr>
          <w:rFonts w:ascii="Helvetica" w:cs="Helvetica" w:hAnsi="Helvetica" w:eastAsia="Helvetica"/>
          <w:b w:val="0"/>
          <w:bCs w:val="0"/>
          <w:shd w:val="clear" w:color="auto" w:fill="ffffff"/>
          <w:rtl w:val="0"/>
        </w:rPr>
      </w:pPr>
      <w:r>
        <w:rPr>
          <w:rFonts w:ascii="Helvetica" w:hAnsi="Helvetica"/>
          <w:b w:val="1"/>
          <w:bCs w:val="1"/>
          <w:shd w:val="clear" w:color="auto" w:fill="ffffff"/>
          <w:rtl w:val="0"/>
          <w:lang w:val="en-US"/>
        </w:rPr>
        <w:t>Conclusions</w:t>
      </w:r>
    </w:p>
    <w:p>
      <w:pPr>
        <w:pStyle w:val="Body"/>
        <w:rPr>
          <w:sz w:val="24"/>
          <w:szCs w:val="24"/>
        </w:rPr>
      </w:pPr>
      <w:r>
        <w:rPr>
          <w:sz w:val="24"/>
          <w:szCs w:val="24"/>
          <w:rtl w:val="0"/>
          <w:lang w:val="en-US"/>
        </w:rPr>
        <w:t xml:space="preserve">In the initial audit cycle 33.3% of medical and nursing staff asked had awareness of the PADIS guideline and CPOT tool (n=12). Of the staff with awareness of the tool, only one staff member was regularly using the tool. Pain score was recorded in 36% of bedside charts, with some using alternative methods of pain scoring. The pain score was recorded on 18% of medical daily reviews. PCA documentation was completed for 100% of patients with PCA in situ. </w:t>
      </w:r>
    </w:p>
    <w:p>
      <w:pPr>
        <w:pStyle w:val="Body"/>
        <w:rPr>
          <w:sz w:val="24"/>
          <w:szCs w:val="24"/>
        </w:rPr>
      </w:pPr>
    </w:p>
    <w:p>
      <w:pPr>
        <w:pStyle w:val="Body"/>
        <w:rPr>
          <w:sz w:val="24"/>
          <w:szCs w:val="24"/>
        </w:rPr>
      </w:pPr>
      <w:r>
        <w:rPr>
          <w:sz w:val="24"/>
          <w:szCs w:val="24"/>
          <w:rtl w:val="0"/>
          <w:lang w:val="en-US"/>
        </w:rPr>
        <w:t xml:space="preserve">In cycle two, 69% of medical and nursing staff asked had awareness of the PADIS guideline and CPOT tool (n=13), with the same amount using the tool (69%). The pain score was recorded in 90% of bedside charts, however recorded in 0% of medical daily reviews. PCA documentation remained at 100% for patients with a PCA in situ. </w:t>
      </w:r>
    </w:p>
    <w:p>
      <w:pPr>
        <w:pStyle w:val="Body"/>
        <w:rPr>
          <w:sz w:val="24"/>
          <w:szCs w:val="24"/>
        </w:rPr>
      </w:pPr>
    </w:p>
    <w:p>
      <w:pPr>
        <w:pStyle w:val="Body"/>
        <w:rPr>
          <w:sz w:val="24"/>
          <w:szCs w:val="24"/>
        </w:rPr>
      </w:pPr>
      <w:r>
        <w:rPr>
          <w:sz w:val="24"/>
          <w:szCs w:val="24"/>
          <w:rtl w:val="0"/>
          <w:lang w:val="en-US"/>
        </w:rPr>
        <w:t xml:space="preserve">There is still work to be done to raise awareness and use of the CPOT tool in the adult ICU to ensure effective and successful pain management of adult intensive care patients. </w:t>
      </w:r>
    </w:p>
    <w:p>
      <w:pPr>
        <w:pStyle w:val="Body"/>
        <w:rPr>
          <w:sz w:val="24"/>
          <w:szCs w:val="24"/>
        </w:rPr>
      </w:pPr>
    </w:p>
    <w:p>
      <w:pPr>
        <w:pStyle w:val="Body"/>
        <w:rPr>
          <w:b w:val="1"/>
          <w:bCs w:val="1"/>
          <w:sz w:val="24"/>
          <w:szCs w:val="24"/>
        </w:rPr>
      </w:pPr>
      <w:r>
        <w:rPr>
          <w:b w:val="1"/>
          <w:bCs w:val="1"/>
          <w:sz w:val="24"/>
          <w:szCs w:val="24"/>
          <w:rtl w:val="0"/>
          <w:lang w:val="en-US"/>
        </w:rPr>
        <w:t>References</w:t>
      </w:r>
    </w:p>
    <w:p>
      <w:pPr>
        <w:pStyle w:val="Body"/>
        <w:rPr>
          <w:b w:val="0"/>
          <w:bCs w:val="0"/>
          <w:sz w:val="24"/>
          <w:szCs w:val="24"/>
        </w:rPr>
      </w:pPr>
    </w:p>
    <w:p>
      <w:pPr>
        <w:pStyle w:val="Body"/>
        <w:numPr>
          <w:ilvl w:val="0"/>
          <w:numId w:val="2"/>
        </w:numPr>
        <w:rPr>
          <w:sz w:val="24"/>
          <w:szCs w:val="24"/>
          <w:lang w:val="en-US"/>
        </w:rPr>
      </w:pPr>
      <w:r>
        <w:rPr>
          <w:sz w:val="24"/>
          <w:szCs w:val="24"/>
          <w:rtl w:val="0"/>
          <w:lang w:val="en-US"/>
        </w:rPr>
        <w:t xml:space="preserve">Critical Care Pain, Agitation / Sedation and Delirium, Immobility and Sleep Disruption (PADIS) - Prevention, Assessment and Management Guideline. Epsom and St Helier University Hospitals. </w:t>
      </w:r>
    </w:p>
    <w:p>
      <w:pPr>
        <w:pStyle w:val="Body"/>
        <w:numPr>
          <w:ilvl w:val="0"/>
          <w:numId w:val="2"/>
        </w:numPr>
        <w:rPr>
          <w:sz w:val="24"/>
          <w:szCs w:val="24"/>
          <w:lang w:val="en-US"/>
        </w:rPr>
      </w:pPr>
      <w:r>
        <w:rPr>
          <w:sz w:val="24"/>
          <w:szCs w:val="24"/>
          <w:rtl w:val="0"/>
          <w:lang w:val="en-US"/>
        </w:rPr>
        <w:t>Barr Juliana et al, CCM 2013, Jan, 41, (1): 236-306 Clinical practice guidelines for the management of pain, agitation and delirium in adult patients in intensive care units.</w:t>
      </w:r>
    </w:p>
    <w:p>
      <w:pPr>
        <w:pStyle w:val="Body"/>
        <w:numPr>
          <w:ilvl w:val="0"/>
          <w:numId w:val="2"/>
        </w:numPr>
        <w:rPr>
          <w:sz w:val="24"/>
          <w:szCs w:val="24"/>
          <w:lang w:val="it-IT"/>
        </w:rPr>
      </w:pPr>
      <w:r>
        <w:rPr>
          <w:sz w:val="24"/>
          <w:szCs w:val="24"/>
          <w:rtl w:val="0"/>
          <w:lang w:val="it-IT"/>
        </w:rPr>
        <w:t>Gelinas Celine et al, AJCC 2006 15 (4): 420-427. CPOT assessment scale.</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