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4BCC1" w14:textId="1CE5DAE6" w:rsidR="00D1617B" w:rsidRPr="0012498A" w:rsidRDefault="00D1617B" w:rsidP="00524C4B">
      <w:pPr>
        <w:ind w:left="720"/>
        <w:rPr>
          <w:rFonts w:cs="Arial"/>
          <w:b/>
          <w:bCs/>
          <w:color w:val="000000" w:themeColor="text1"/>
          <w:shd w:val="clear" w:color="auto" w:fill="FFFFFF"/>
        </w:rPr>
      </w:pPr>
      <w:r w:rsidRPr="0012498A">
        <w:rPr>
          <w:rFonts w:cs="Arial"/>
          <w:b/>
          <w:bCs/>
          <w:color w:val="000000" w:themeColor="text1"/>
          <w:shd w:val="clear" w:color="auto" w:fill="FFFFFF"/>
        </w:rPr>
        <w:t xml:space="preserve">The Conservative Management of Acute Achilles Tendon Rupture </w:t>
      </w:r>
    </w:p>
    <w:p w14:paraId="5D3E17D7" w14:textId="648BA4B7" w:rsidR="003803FF" w:rsidRPr="0012498A" w:rsidRDefault="00EB32AC" w:rsidP="00524C4B">
      <w:pPr>
        <w:ind w:left="720"/>
        <w:rPr>
          <w:rFonts w:cs="Arial"/>
          <w:color w:val="000000" w:themeColor="text1"/>
          <w:shd w:val="clear" w:color="auto" w:fill="FFFFFF"/>
        </w:rPr>
      </w:pPr>
      <w:r w:rsidRPr="0012498A">
        <w:rPr>
          <w:rFonts w:cs="Arial"/>
          <w:b/>
          <w:bCs/>
          <w:color w:val="000000" w:themeColor="text1"/>
          <w:shd w:val="clear" w:color="auto" w:fill="FFFFFF"/>
        </w:rPr>
        <w:t>Aims</w:t>
      </w:r>
      <w:r w:rsidRPr="0012498A">
        <w:rPr>
          <w:rFonts w:cs="Arial"/>
          <w:color w:val="000000" w:themeColor="text1"/>
          <w:shd w:val="clear" w:color="auto" w:fill="FFFFFF"/>
        </w:rPr>
        <w:t xml:space="preserve">: Acute Achilles tendon rupture (AATR) can be managed </w:t>
      </w:r>
      <w:r w:rsidR="0082317D" w:rsidRPr="0012498A">
        <w:rPr>
          <w:rFonts w:cs="Arial"/>
          <w:color w:val="000000" w:themeColor="text1"/>
          <w:shd w:val="clear" w:color="auto" w:fill="FFFFFF"/>
        </w:rPr>
        <w:t>surgically</w:t>
      </w:r>
      <w:r w:rsidRPr="0012498A">
        <w:rPr>
          <w:rFonts w:cs="Arial"/>
          <w:color w:val="000000" w:themeColor="text1"/>
          <w:shd w:val="clear" w:color="auto" w:fill="FFFFFF"/>
        </w:rPr>
        <w:t xml:space="preserve"> or </w:t>
      </w:r>
      <w:r w:rsidR="0082317D" w:rsidRPr="0012498A">
        <w:rPr>
          <w:rFonts w:cs="Arial"/>
          <w:color w:val="000000" w:themeColor="text1"/>
          <w:shd w:val="clear" w:color="auto" w:fill="FFFFFF"/>
        </w:rPr>
        <w:t>conservatively</w:t>
      </w:r>
      <w:r w:rsidRPr="0012498A">
        <w:rPr>
          <w:rFonts w:cs="Arial"/>
          <w:color w:val="000000" w:themeColor="text1"/>
          <w:shd w:val="clear" w:color="auto" w:fill="FFFFFF"/>
        </w:rPr>
        <w:t xml:space="preserve">, however, the optimal treatment is contentious. We looked at the </w:t>
      </w:r>
      <w:r w:rsidR="00524C4B" w:rsidRPr="0012498A">
        <w:rPr>
          <w:rFonts w:cs="Arial"/>
          <w:color w:val="000000" w:themeColor="text1"/>
          <w:shd w:val="clear" w:color="auto" w:fill="FFFFFF"/>
        </w:rPr>
        <w:t>conservative</w:t>
      </w:r>
      <w:r w:rsidRPr="0012498A">
        <w:rPr>
          <w:rFonts w:cs="Arial"/>
          <w:color w:val="000000" w:themeColor="text1"/>
          <w:shd w:val="clear" w:color="auto" w:fill="FFFFFF"/>
        </w:rPr>
        <w:t xml:space="preserve"> management of AATR and functional rehabilitation of these patients at our hospital. Functional rehabilitation </w:t>
      </w:r>
      <w:r w:rsidR="00524C4B" w:rsidRPr="0012498A">
        <w:rPr>
          <w:rFonts w:cs="Arial"/>
          <w:color w:val="000000" w:themeColor="text1"/>
          <w:shd w:val="clear" w:color="auto" w:fill="FFFFFF"/>
        </w:rPr>
        <w:t>was</w:t>
      </w:r>
      <w:r w:rsidRPr="0012498A">
        <w:rPr>
          <w:rFonts w:cs="Arial"/>
          <w:color w:val="000000" w:themeColor="text1"/>
          <w:shd w:val="clear" w:color="auto" w:fill="FFFFFF"/>
        </w:rPr>
        <w:t xml:space="preserve"> defined as early motion</w:t>
      </w:r>
      <w:r w:rsidR="00EA1EF4" w:rsidRPr="0012498A">
        <w:rPr>
          <w:rFonts w:cs="Arial"/>
          <w:color w:val="000000" w:themeColor="text1"/>
          <w:shd w:val="clear" w:color="auto" w:fill="FFFFFF"/>
        </w:rPr>
        <w:t xml:space="preserve"> and </w:t>
      </w:r>
      <w:r w:rsidRPr="0012498A">
        <w:rPr>
          <w:rFonts w:cs="Arial"/>
          <w:color w:val="000000" w:themeColor="text1"/>
          <w:shd w:val="clear" w:color="auto" w:fill="FFFFFF"/>
        </w:rPr>
        <w:t>controlled</w:t>
      </w:r>
      <w:r w:rsidR="00EA1EF4" w:rsidRPr="0012498A">
        <w:rPr>
          <w:rFonts w:cs="Arial"/>
          <w:color w:val="000000" w:themeColor="text1"/>
          <w:shd w:val="clear" w:color="auto" w:fill="FFFFFF"/>
        </w:rPr>
        <w:t>,</w:t>
      </w:r>
      <w:r w:rsidRPr="0012498A">
        <w:rPr>
          <w:rFonts w:cs="Arial"/>
          <w:color w:val="000000" w:themeColor="text1"/>
          <w:shd w:val="clear" w:color="auto" w:fill="FFFFFF"/>
        </w:rPr>
        <w:t xml:space="preserve"> early weight bearing. The aim was to assess the outcomes of managing patients conservatively (</w:t>
      </w:r>
      <w:proofErr w:type="spellStart"/>
      <w:r w:rsidRPr="0012498A">
        <w:rPr>
          <w:rFonts w:cs="Arial"/>
          <w:color w:val="000000" w:themeColor="text1"/>
          <w:shd w:val="clear" w:color="auto" w:fill="FFFFFF"/>
        </w:rPr>
        <w:t>Vacoped</w:t>
      </w:r>
      <w:proofErr w:type="spellEnd"/>
      <w:r w:rsidRPr="0012498A">
        <w:rPr>
          <w:rFonts w:cs="Arial"/>
          <w:color w:val="000000" w:themeColor="text1"/>
          <w:shd w:val="clear" w:color="auto" w:fill="FFFFFF"/>
        </w:rPr>
        <w:t xml:space="preserve"> boot) with AATR and assess the re-rupture rate for patients treated conservatively.</w:t>
      </w:r>
      <w:r w:rsidRPr="0012498A">
        <w:rPr>
          <w:rFonts w:cs="Arial"/>
          <w:color w:val="000000" w:themeColor="text1"/>
        </w:rPr>
        <w:br/>
      </w:r>
      <w:r w:rsidRPr="0012498A">
        <w:rPr>
          <w:rFonts w:cs="Arial"/>
          <w:color w:val="000000" w:themeColor="text1"/>
        </w:rPr>
        <w:br/>
      </w:r>
      <w:r w:rsidRPr="0012498A">
        <w:rPr>
          <w:rFonts w:cs="Arial"/>
          <w:b/>
          <w:bCs/>
          <w:color w:val="000000" w:themeColor="text1"/>
          <w:shd w:val="clear" w:color="auto" w:fill="FFFFFF"/>
        </w:rPr>
        <w:t>Methods:</w:t>
      </w:r>
      <w:r w:rsidRPr="0012498A">
        <w:rPr>
          <w:rFonts w:cs="Arial"/>
          <w:color w:val="000000" w:themeColor="text1"/>
          <w:shd w:val="clear" w:color="auto" w:fill="FFFFFF"/>
        </w:rPr>
        <w:t xml:space="preserve"> This was a retrospective review of hospital electronic systems and plaster room data to identify </w:t>
      </w:r>
      <w:r w:rsidR="00DC15B1" w:rsidRPr="0012498A">
        <w:rPr>
          <w:rFonts w:cs="Arial"/>
          <w:color w:val="000000" w:themeColor="text1"/>
          <w:shd w:val="clear" w:color="auto" w:fill="FFFFFF"/>
        </w:rPr>
        <w:t xml:space="preserve">AATR </w:t>
      </w:r>
      <w:r w:rsidRPr="0012498A">
        <w:rPr>
          <w:rFonts w:cs="Arial"/>
          <w:color w:val="000000" w:themeColor="text1"/>
          <w:shd w:val="clear" w:color="auto" w:fill="FFFFFF"/>
        </w:rPr>
        <w:t xml:space="preserve">patients </w:t>
      </w:r>
      <w:r w:rsidR="00971F46" w:rsidRPr="0012498A">
        <w:rPr>
          <w:rFonts w:cs="Arial"/>
          <w:color w:val="000000" w:themeColor="text1"/>
          <w:shd w:val="clear" w:color="auto" w:fill="FFFFFF"/>
        </w:rPr>
        <w:t>(between January 2018 to December 2020)</w:t>
      </w:r>
      <w:r w:rsidRPr="0012498A">
        <w:rPr>
          <w:rFonts w:cs="Arial"/>
          <w:color w:val="000000" w:themeColor="text1"/>
          <w:shd w:val="clear" w:color="auto" w:fill="FFFFFF"/>
        </w:rPr>
        <w:t xml:space="preserve"> at our hospital. Patients were contacted to assess rehabilitation status using the Achilles tendon Total Rupture Score (ATRS) questionnaire. </w:t>
      </w:r>
      <w:r w:rsidRPr="0012498A">
        <w:rPr>
          <w:rFonts w:cs="Arial"/>
          <w:color w:val="000000" w:themeColor="text1"/>
        </w:rPr>
        <w:br/>
      </w:r>
      <w:r w:rsidRPr="0012498A">
        <w:rPr>
          <w:rFonts w:cs="Arial"/>
          <w:color w:val="000000" w:themeColor="text1"/>
        </w:rPr>
        <w:br/>
      </w:r>
      <w:r w:rsidRPr="0012498A">
        <w:rPr>
          <w:rFonts w:cs="Arial"/>
          <w:b/>
          <w:bCs/>
          <w:color w:val="000000" w:themeColor="text1"/>
          <w:shd w:val="clear" w:color="auto" w:fill="FFFFFF"/>
        </w:rPr>
        <w:t>Results</w:t>
      </w:r>
      <w:r w:rsidRPr="0012498A">
        <w:rPr>
          <w:rFonts w:cs="Arial"/>
          <w:color w:val="000000" w:themeColor="text1"/>
          <w:shd w:val="clear" w:color="auto" w:fill="FFFFFF"/>
        </w:rPr>
        <w:t>: 50 patients were identified from the initial search</w:t>
      </w:r>
      <w:r w:rsidR="00524C4B" w:rsidRPr="0012498A">
        <w:rPr>
          <w:rFonts w:cs="Arial"/>
          <w:color w:val="000000" w:themeColor="text1"/>
          <w:shd w:val="clear" w:color="auto" w:fill="FFFFFF"/>
        </w:rPr>
        <w:t>.</w:t>
      </w:r>
      <w:r w:rsidRPr="0012498A">
        <w:rPr>
          <w:rFonts w:cs="Arial"/>
          <w:color w:val="000000" w:themeColor="text1"/>
          <w:shd w:val="clear" w:color="auto" w:fill="FFFFFF"/>
        </w:rPr>
        <w:t xml:space="preserve"> </w:t>
      </w:r>
      <w:r w:rsidR="00524C4B" w:rsidRPr="0012498A">
        <w:rPr>
          <w:rFonts w:cs="Arial"/>
          <w:color w:val="000000" w:themeColor="text1"/>
          <w:shd w:val="clear" w:color="auto" w:fill="FFFFFF"/>
        </w:rPr>
        <w:t>O</w:t>
      </w:r>
      <w:r w:rsidRPr="0012498A">
        <w:rPr>
          <w:rFonts w:cs="Arial"/>
          <w:color w:val="000000" w:themeColor="text1"/>
          <w:shd w:val="clear" w:color="auto" w:fill="FFFFFF"/>
        </w:rPr>
        <w:t>f these</w:t>
      </w:r>
      <w:r w:rsidR="0082317D" w:rsidRPr="0012498A">
        <w:rPr>
          <w:rFonts w:cs="Arial"/>
          <w:color w:val="000000" w:themeColor="text1"/>
          <w:shd w:val="clear" w:color="auto" w:fill="FFFFFF"/>
        </w:rPr>
        <w:t>,</w:t>
      </w:r>
      <w:r w:rsidRPr="0012498A">
        <w:rPr>
          <w:rFonts w:cs="Arial"/>
          <w:color w:val="000000" w:themeColor="text1"/>
          <w:shd w:val="clear" w:color="auto" w:fill="FFFFFF"/>
        </w:rPr>
        <w:t xml:space="preserve"> 30 </w:t>
      </w:r>
      <w:r w:rsidR="00524C4B" w:rsidRPr="0012498A">
        <w:rPr>
          <w:rFonts w:cs="Arial"/>
          <w:color w:val="000000" w:themeColor="text1"/>
          <w:shd w:val="clear" w:color="auto" w:fill="FFFFFF"/>
        </w:rPr>
        <w:t>patients</w:t>
      </w:r>
      <w:r w:rsidR="0082317D" w:rsidRPr="0012498A">
        <w:rPr>
          <w:rFonts w:cs="Arial"/>
          <w:color w:val="000000" w:themeColor="text1"/>
          <w:shd w:val="clear" w:color="auto" w:fill="FFFFFF"/>
        </w:rPr>
        <w:t xml:space="preserve"> </w:t>
      </w:r>
      <w:r w:rsidR="00524C4B" w:rsidRPr="0012498A">
        <w:rPr>
          <w:rFonts w:cs="Arial"/>
          <w:color w:val="000000" w:themeColor="text1"/>
          <w:shd w:val="clear" w:color="auto" w:fill="FFFFFF"/>
        </w:rPr>
        <w:t>(</w:t>
      </w:r>
      <w:r w:rsidR="00524C4B" w:rsidRPr="0012498A">
        <w:rPr>
          <w:rFonts w:cs="Arial"/>
          <w:color w:val="000000" w:themeColor="text1"/>
          <w:shd w:val="clear" w:color="auto" w:fill="FFFFFF"/>
        </w:rPr>
        <w:t>25M, 5F) </w:t>
      </w:r>
      <w:r w:rsidRPr="0012498A">
        <w:rPr>
          <w:rFonts w:cs="Arial"/>
          <w:color w:val="000000" w:themeColor="text1"/>
          <w:shd w:val="clear" w:color="auto" w:fill="FFFFFF"/>
        </w:rPr>
        <w:t>underwent conservative treatment</w:t>
      </w:r>
      <w:r w:rsidR="00524C4B" w:rsidRPr="0012498A">
        <w:rPr>
          <w:rFonts w:cs="Arial"/>
          <w:color w:val="000000" w:themeColor="text1"/>
          <w:shd w:val="clear" w:color="auto" w:fill="FFFFFF"/>
        </w:rPr>
        <w:t xml:space="preserve"> </w:t>
      </w:r>
      <w:r w:rsidRPr="0012498A">
        <w:rPr>
          <w:rFonts w:cs="Arial"/>
          <w:color w:val="000000" w:themeColor="text1"/>
          <w:shd w:val="clear" w:color="auto" w:fill="FFFFFF"/>
        </w:rPr>
        <w:t>(20 surgical patients excluded). 17 patients sustained a total rupture,</w:t>
      </w:r>
      <w:r w:rsidR="0082317D" w:rsidRPr="0012498A">
        <w:rPr>
          <w:rFonts w:cs="Arial"/>
          <w:color w:val="000000" w:themeColor="text1"/>
          <w:shd w:val="clear" w:color="auto" w:fill="FFFFFF"/>
        </w:rPr>
        <w:t xml:space="preserve"> 7 a partial rupture and</w:t>
      </w:r>
      <w:r w:rsidRPr="0012498A">
        <w:rPr>
          <w:rFonts w:cs="Arial"/>
          <w:color w:val="000000" w:themeColor="text1"/>
          <w:shd w:val="clear" w:color="auto" w:fill="FFFFFF"/>
        </w:rPr>
        <w:t xml:space="preserve"> 6 </w:t>
      </w:r>
      <w:r w:rsidR="0082317D" w:rsidRPr="0012498A">
        <w:rPr>
          <w:rFonts w:cs="Arial"/>
          <w:color w:val="000000" w:themeColor="text1"/>
          <w:shd w:val="clear" w:color="auto" w:fill="FFFFFF"/>
        </w:rPr>
        <w:t xml:space="preserve">at </w:t>
      </w:r>
      <w:r w:rsidRPr="0012498A">
        <w:rPr>
          <w:rFonts w:cs="Arial"/>
          <w:color w:val="000000" w:themeColor="text1"/>
          <w:shd w:val="clear" w:color="auto" w:fill="FFFFFF"/>
        </w:rPr>
        <w:t>the musculotendinous junction. The mean patient age was 54 years (35-91 range). The mean review time was 7.79 days from referral (3-25 days range), duration of weight bearing status was 2-12 weeks (mean 5 weeks) and mean follow up duration was 10.45 weeks (3-34 weeks range). There were no re-ruptures reported. There were minimal complications reported (2 DVT</w:t>
      </w:r>
      <w:r w:rsidR="0082317D" w:rsidRPr="0012498A">
        <w:rPr>
          <w:rFonts w:cs="Arial"/>
          <w:color w:val="000000" w:themeColor="text1"/>
          <w:shd w:val="clear" w:color="auto" w:fill="FFFFFF"/>
        </w:rPr>
        <w:t>s</w:t>
      </w:r>
      <w:r w:rsidRPr="0012498A">
        <w:rPr>
          <w:rFonts w:cs="Arial"/>
          <w:color w:val="000000" w:themeColor="text1"/>
          <w:shd w:val="clear" w:color="auto" w:fill="FFFFFF"/>
        </w:rPr>
        <w:t>, 2 pressure sores and 1</w:t>
      </w:r>
      <w:r w:rsidR="003461E2" w:rsidRPr="0012498A">
        <w:rPr>
          <w:rFonts w:cs="Arial"/>
          <w:color w:val="000000" w:themeColor="text1"/>
          <w:shd w:val="clear" w:color="auto" w:fill="FFFFFF"/>
        </w:rPr>
        <w:t xml:space="preserve"> </w:t>
      </w:r>
      <w:r w:rsidRPr="0012498A">
        <w:rPr>
          <w:rFonts w:cs="Arial"/>
          <w:color w:val="000000" w:themeColor="text1"/>
          <w:shd w:val="clear" w:color="auto" w:fill="FFFFFF"/>
        </w:rPr>
        <w:t xml:space="preserve">patient investigated for chronic regional pain syndrome). </w:t>
      </w:r>
      <w:r w:rsidR="00844A98" w:rsidRPr="0012498A">
        <w:rPr>
          <w:rFonts w:cs="Arial"/>
          <w:color w:val="000000" w:themeColor="text1"/>
          <w:shd w:val="clear" w:color="auto" w:fill="FFFFFF"/>
        </w:rPr>
        <w:t xml:space="preserve">ATRS scores from </w:t>
      </w:r>
      <w:r w:rsidR="003461E2" w:rsidRPr="0012498A">
        <w:rPr>
          <w:rFonts w:cs="Arial"/>
          <w:color w:val="000000" w:themeColor="text1"/>
          <w:shd w:val="clear" w:color="auto" w:fill="FFFFFF"/>
        </w:rPr>
        <w:t>20</w:t>
      </w:r>
      <w:r w:rsidR="00844A98" w:rsidRPr="0012498A">
        <w:rPr>
          <w:rFonts w:cs="Arial"/>
          <w:color w:val="000000" w:themeColor="text1"/>
          <w:shd w:val="clear" w:color="auto" w:fill="FFFFFF"/>
        </w:rPr>
        <w:t xml:space="preserve"> patients showed </w:t>
      </w:r>
      <w:r w:rsidR="00433307" w:rsidRPr="0012498A">
        <w:rPr>
          <w:rFonts w:cs="Arial"/>
          <w:color w:val="000000" w:themeColor="text1"/>
          <w:shd w:val="clear" w:color="auto" w:fill="FFFFFF"/>
        </w:rPr>
        <w:t>varying</w:t>
      </w:r>
      <w:r w:rsidR="00DC15B1" w:rsidRPr="0012498A">
        <w:rPr>
          <w:rFonts w:cs="Arial"/>
          <w:color w:val="000000" w:themeColor="text1"/>
          <w:shd w:val="clear" w:color="auto" w:fill="FFFFFF"/>
        </w:rPr>
        <w:t xml:space="preserve"> success </w:t>
      </w:r>
      <w:r w:rsidR="00844A98" w:rsidRPr="0012498A">
        <w:rPr>
          <w:rFonts w:cs="Arial"/>
          <w:color w:val="000000" w:themeColor="text1"/>
          <w:shd w:val="clear" w:color="auto" w:fill="FFFFFF"/>
        </w:rPr>
        <w:t>for return to pre-injury function</w:t>
      </w:r>
      <w:r w:rsidR="003461E2" w:rsidRPr="0012498A">
        <w:rPr>
          <w:rFonts w:cs="Arial"/>
          <w:color w:val="000000" w:themeColor="text1"/>
          <w:shd w:val="clear" w:color="auto" w:fill="FFFFFF"/>
        </w:rPr>
        <w:t>.</w:t>
      </w:r>
      <w:r w:rsidR="00844A98" w:rsidRPr="0012498A">
        <w:rPr>
          <w:rFonts w:cs="Arial"/>
          <w:color w:val="000000" w:themeColor="text1"/>
          <w:shd w:val="clear" w:color="auto" w:fill="FFFFFF"/>
        </w:rPr>
        <w:t xml:space="preserve"> </w:t>
      </w:r>
      <w:r w:rsidR="003461E2" w:rsidRPr="0012498A">
        <w:rPr>
          <w:rFonts w:cs="Arial"/>
          <w:color w:val="000000" w:themeColor="text1"/>
          <w:shd w:val="clear" w:color="auto" w:fill="FFFFFF"/>
        </w:rPr>
        <w:t>T</w:t>
      </w:r>
      <w:r w:rsidR="00844A98" w:rsidRPr="0012498A">
        <w:rPr>
          <w:rFonts w:cs="Arial"/>
          <w:color w:val="000000" w:themeColor="text1"/>
          <w:shd w:val="clear" w:color="auto" w:fill="FFFFFF"/>
        </w:rPr>
        <w:t xml:space="preserve">hose </w:t>
      </w:r>
      <w:r w:rsidR="002A0F6E" w:rsidRPr="0012498A">
        <w:rPr>
          <w:rFonts w:cs="Arial"/>
          <w:color w:val="000000" w:themeColor="text1"/>
          <w:shd w:val="clear" w:color="auto" w:fill="FFFFFF"/>
        </w:rPr>
        <w:t>with lower scores</w:t>
      </w:r>
      <w:r w:rsidR="00844A98" w:rsidRPr="0012498A">
        <w:rPr>
          <w:rFonts w:cs="Arial"/>
          <w:color w:val="000000" w:themeColor="text1"/>
          <w:shd w:val="clear" w:color="auto" w:fill="FFFFFF"/>
        </w:rPr>
        <w:t xml:space="preserve"> (not </w:t>
      </w:r>
      <w:r w:rsidR="002A0F6E" w:rsidRPr="0012498A">
        <w:rPr>
          <w:rFonts w:cs="Arial"/>
          <w:color w:val="000000" w:themeColor="text1"/>
          <w:shd w:val="clear" w:color="auto" w:fill="FFFFFF"/>
        </w:rPr>
        <w:t>returning to pre-injury function)</w:t>
      </w:r>
      <w:r w:rsidR="00844A98" w:rsidRPr="0012498A">
        <w:rPr>
          <w:rFonts w:cs="Arial"/>
          <w:color w:val="000000" w:themeColor="text1"/>
          <w:shd w:val="clear" w:color="auto" w:fill="FFFFFF"/>
        </w:rPr>
        <w:t xml:space="preserve"> had co-morbidities</w:t>
      </w:r>
      <w:r w:rsidR="00524C4B" w:rsidRPr="0012498A">
        <w:rPr>
          <w:rFonts w:cs="Arial"/>
          <w:color w:val="000000" w:themeColor="text1"/>
          <w:shd w:val="clear" w:color="auto" w:fill="FFFFFF"/>
        </w:rPr>
        <w:t xml:space="preserve"> such as</w:t>
      </w:r>
      <w:r w:rsidR="00844A98" w:rsidRPr="0012498A">
        <w:rPr>
          <w:rFonts w:cs="Arial"/>
          <w:color w:val="000000" w:themeColor="text1"/>
          <w:shd w:val="clear" w:color="auto" w:fill="FFFFFF"/>
        </w:rPr>
        <w:t xml:space="preserve"> T2DM, HTN </w:t>
      </w:r>
      <w:r w:rsidR="002A0F6E" w:rsidRPr="0012498A">
        <w:rPr>
          <w:rFonts w:cs="Arial"/>
          <w:color w:val="000000" w:themeColor="text1"/>
          <w:shd w:val="clear" w:color="auto" w:fill="FFFFFF"/>
        </w:rPr>
        <w:t>or</w:t>
      </w:r>
      <w:r w:rsidR="00844A98" w:rsidRPr="0012498A">
        <w:rPr>
          <w:rFonts w:cs="Arial"/>
          <w:color w:val="000000" w:themeColor="text1"/>
          <w:shd w:val="clear" w:color="auto" w:fill="FFFFFF"/>
        </w:rPr>
        <w:t xml:space="preserve"> obesity at time of injury.</w:t>
      </w:r>
      <w:r w:rsidRPr="0012498A">
        <w:rPr>
          <w:rFonts w:cs="Arial"/>
          <w:color w:val="000000" w:themeColor="text1"/>
        </w:rPr>
        <w:br/>
      </w:r>
      <w:r w:rsidRPr="0012498A">
        <w:rPr>
          <w:rFonts w:cs="Arial"/>
          <w:color w:val="000000" w:themeColor="text1"/>
        </w:rPr>
        <w:br/>
      </w:r>
      <w:r w:rsidRPr="0012498A">
        <w:rPr>
          <w:rFonts w:cs="Arial"/>
          <w:b/>
          <w:bCs/>
          <w:color w:val="000000" w:themeColor="text1"/>
          <w:shd w:val="clear" w:color="auto" w:fill="FFFFFF"/>
        </w:rPr>
        <w:t>Conclusions</w:t>
      </w:r>
      <w:r w:rsidRPr="0012498A">
        <w:rPr>
          <w:rFonts w:cs="Arial"/>
          <w:color w:val="000000" w:themeColor="text1"/>
          <w:shd w:val="clear" w:color="auto" w:fill="FFFFFF"/>
        </w:rPr>
        <w:t xml:space="preserve">: Patients managed conservatively after AATR did not suffer re-rupture in our patient group </w:t>
      </w:r>
      <w:r w:rsidR="00DC15B1" w:rsidRPr="0012498A">
        <w:rPr>
          <w:rFonts w:cs="Arial"/>
          <w:color w:val="000000" w:themeColor="text1"/>
          <w:shd w:val="clear" w:color="auto" w:fill="FFFFFF"/>
        </w:rPr>
        <w:t>with</w:t>
      </w:r>
      <w:r w:rsidRPr="0012498A">
        <w:rPr>
          <w:rFonts w:cs="Arial"/>
          <w:color w:val="000000" w:themeColor="text1"/>
          <w:shd w:val="clear" w:color="auto" w:fill="FFFFFF"/>
        </w:rPr>
        <w:t xml:space="preserve"> minimal complications. </w:t>
      </w:r>
      <w:r w:rsidR="00844A98" w:rsidRPr="0012498A">
        <w:rPr>
          <w:rFonts w:cs="Arial"/>
          <w:color w:val="000000" w:themeColor="text1"/>
          <w:shd w:val="clear" w:color="auto" w:fill="FFFFFF"/>
        </w:rPr>
        <w:t xml:space="preserve">Those with </w:t>
      </w:r>
      <w:r w:rsidR="0082317D" w:rsidRPr="0012498A">
        <w:rPr>
          <w:rFonts w:cs="Arial"/>
          <w:color w:val="000000" w:themeColor="text1"/>
          <w:shd w:val="clear" w:color="auto" w:fill="FFFFFF"/>
        </w:rPr>
        <w:t xml:space="preserve">particular </w:t>
      </w:r>
      <w:r w:rsidR="00844A98" w:rsidRPr="0012498A">
        <w:rPr>
          <w:rFonts w:cs="Arial"/>
          <w:color w:val="000000" w:themeColor="text1"/>
          <w:shd w:val="clear" w:color="auto" w:fill="FFFFFF"/>
        </w:rPr>
        <w:t>co-morbidities had a lesser return to function (quantified by ATRS score) than those patients with no co-morbidities.</w:t>
      </w:r>
      <w:r w:rsidR="00547505" w:rsidRPr="0012498A">
        <w:rPr>
          <w:rFonts w:cs="Arial"/>
          <w:color w:val="000000" w:themeColor="text1"/>
          <w:shd w:val="clear" w:color="auto" w:fill="FFFFFF"/>
        </w:rPr>
        <w:t xml:space="preserve"> </w:t>
      </w:r>
      <w:r w:rsidR="00547505" w:rsidRPr="0012498A">
        <w:rPr>
          <w:rFonts w:cs="Arial"/>
          <w:color w:val="000000" w:themeColor="text1"/>
          <w:shd w:val="clear" w:color="auto" w:fill="FFFFFF"/>
        </w:rPr>
        <w:t>A conservative approach is an acceptable way of treating AATR.</w:t>
      </w:r>
    </w:p>
    <w:p w14:paraId="4BA28BAF" w14:textId="35D5A37F" w:rsidR="0012498A" w:rsidRPr="0012498A" w:rsidRDefault="0012498A" w:rsidP="00524C4B">
      <w:pPr>
        <w:ind w:left="720"/>
        <w:rPr>
          <w:b/>
          <w:bCs/>
          <w:sz w:val="21"/>
          <w:szCs w:val="21"/>
        </w:rPr>
      </w:pPr>
    </w:p>
    <w:p w14:paraId="5FEE20B1" w14:textId="67E42E3E" w:rsidR="0012498A" w:rsidRPr="0012498A" w:rsidRDefault="0012498A" w:rsidP="00524C4B">
      <w:pPr>
        <w:ind w:left="720"/>
        <w:rPr>
          <w:b/>
          <w:bCs/>
          <w:sz w:val="20"/>
          <w:szCs w:val="20"/>
        </w:rPr>
      </w:pPr>
      <w:r w:rsidRPr="0012498A">
        <w:rPr>
          <w:b/>
          <w:bCs/>
          <w:sz w:val="20"/>
          <w:szCs w:val="20"/>
        </w:rPr>
        <w:t>Recent Publications</w:t>
      </w:r>
    </w:p>
    <w:p w14:paraId="1F6DE904" w14:textId="60BB852C" w:rsidR="0012498A" w:rsidRPr="0012498A" w:rsidRDefault="0012498A" w:rsidP="0012498A">
      <w:pPr>
        <w:ind w:left="72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proofErr w:type="spellStart"/>
      <w:r w:rsidRPr="0012498A">
        <w:rPr>
          <w:sz w:val="20"/>
          <w:szCs w:val="20"/>
        </w:rPr>
        <w:t>Komoriyama</w:t>
      </w:r>
      <w:proofErr w:type="spellEnd"/>
      <w:r w:rsidRPr="0012498A">
        <w:rPr>
          <w:sz w:val="20"/>
          <w:szCs w:val="20"/>
        </w:rPr>
        <w:t xml:space="preserve"> A, </w:t>
      </w:r>
      <w:proofErr w:type="spellStart"/>
      <w:r w:rsidRPr="0012498A">
        <w:rPr>
          <w:sz w:val="20"/>
          <w:szCs w:val="20"/>
        </w:rPr>
        <w:t>Littlefair</w:t>
      </w:r>
      <w:proofErr w:type="spellEnd"/>
      <w:r w:rsidRPr="0012498A">
        <w:rPr>
          <w:sz w:val="20"/>
          <w:szCs w:val="20"/>
        </w:rPr>
        <w:t xml:space="preserve"> E, </w:t>
      </w:r>
      <w:proofErr w:type="spellStart"/>
      <w:r w:rsidRPr="0012498A">
        <w:rPr>
          <w:sz w:val="20"/>
          <w:szCs w:val="20"/>
        </w:rPr>
        <w:t>Paize</w:t>
      </w:r>
      <w:proofErr w:type="spellEnd"/>
      <w:r w:rsidRPr="0012498A">
        <w:rPr>
          <w:sz w:val="20"/>
          <w:szCs w:val="20"/>
        </w:rPr>
        <w:t xml:space="preserve"> F, Dewhurst C and Gladstone M. </w:t>
      </w:r>
      <w:r w:rsidRPr="0012498A">
        <w:rPr>
          <w:b/>
          <w:bCs/>
          <w:sz w:val="20"/>
          <w:szCs w:val="20"/>
        </w:rPr>
        <w:t>A journey through follow-up for neurodevelopmentally at-risk infants – A qualitative study on views of parents and professionals in Liverpool.</w:t>
      </w:r>
      <w:r w:rsidRPr="0012498A">
        <w:rPr>
          <w:sz w:val="20"/>
          <w:szCs w:val="20"/>
        </w:rPr>
        <w:t xml:space="preserve"> Child: Care, Health, Development, 2019. 45(6), 808-814.</w:t>
      </w:r>
    </w:p>
    <w:p w14:paraId="44E91664" w14:textId="77777777" w:rsidR="0012498A" w:rsidRDefault="0012498A" w:rsidP="00524C4B">
      <w:pPr>
        <w:ind w:left="720"/>
      </w:pPr>
    </w:p>
    <w:p w14:paraId="652B5169" w14:textId="332CE0F2" w:rsidR="0012498A" w:rsidRPr="00EB32AC" w:rsidRDefault="0012498A" w:rsidP="00524C4B">
      <w:pPr>
        <w:ind w:left="720"/>
      </w:pPr>
    </w:p>
    <w:sectPr w:rsidR="0012498A" w:rsidRPr="00EB32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2AC"/>
    <w:rsid w:val="00025FE2"/>
    <w:rsid w:val="0012498A"/>
    <w:rsid w:val="00154299"/>
    <w:rsid w:val="001D71FD"/>
    <w:rsid w:val="002A0F6E"/>
    <w:rsid w:val="0030735C"/>
    <w:rsid w:val="003461E2"/>
    <w:rsid w:val="003803FF"/>
    <w:rsid w:val="00433307"/>
    <w:rsid w:val="00524C4B"/>
    <w:rsid w:val="00547505"/>
    <w:rsid w:val="008203CC"/>
    <w:rsid w:val="0082317D"/>
    <w:rsid w:val="00844A98"/>
    <w:rsid w:val="008C3675"/>
    <w:rsid w:val="00971F46"/>
    <w:rsid w:val="00D1617B"/>
    <w:rsid w:val="00DC15B1"/>
    <w:rsid w:val="00EA1EF4"/>
    <w:rsid w:val="00EB32AC"/>
    <w:rsid w:val="00F6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FE6DA"/>
  <w15:chartTrackingRefBased/>
  <w15:docId w15:val="{FC90A5A7-512D-42A8-A686-1E7B492A1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249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98A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uthors-list-item">
    <w:name w:val="authors-list-item"/>
    <w:basedOn w:val="DefaultParagraphFont"/>
    <w:rsid w:val="0012498A"/>
  </w:style>
  <w:style w:type="character" w:styleId="Hyperlink">
    <w:name w:val="Hyperlink"/>
    <w:basedOn w:val="DefaultParagraphFont"/>
    <w:uiPriority w:val="99"/>
    <w:semiHidden/>
    <w:unhideWhenUsed/>
    <w:rsid w:val="0012498A"/>
    <w:rPr>
      <w:color w:val="0000FF"/>
      <w:u w:val="single"/>
    </w:rPr>
  </w:style>
  <w:style w:type="character" w:customStyle="1" w:styleId="author-sup-separator">
    <w:name w:val="author-sup-separator"/>
    <w:basedOn w:val="DefaultParagraphFont"/>
    <w:rsid w:val="0012498A"/>
  </w:style>
  <w:style w:type="character" w:customStyle="1" w:styleId="comma">
    <w:name w:val="comma"/>
    <w:basedOn w:val="DefaultParagraphFont"/>
    <w:rsid w:val="001249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77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Danyial Malik</dc:creator>
  <cp:keywords/>
  <dc:description/>
  <cp:lastModifiedBy>Esme Littlefair</cp:lastModifiedBy>
  <cp:revision>3</cp:revision>
  <dcterms:created xsi:type="dcterms:W3CDTF">2022-01-17T15:26:00Z</dcterms:created>
  <dcterms:modified xsi:type="dcterms:W3CDTF">2022-01-17T15:37:00Z</dcterms:modified>
</cp:coreProperties>
</file>