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90D39" w14:textId="4FE0C86B" w:rsidR="00715AB9" w:rsidRPr="00715AB9" w:rsidRDefault="00715AB9" w:rsidP="00A22F65">
      <w:pPr>
        <w:rPr>
          <w:rFonts w:eastAsia="Times New Roman"/>
          <w:b/>
          <w:bCs/>
          <w:color w:val="000000" w:themeColor="text1"/>
          <w:sz w:val="27"/>
          <w:szCs w:val="27"/>
          <w:u w:val="single"/>
          <w:lang w:eastAsia="en-GB"/>
        </w:rPr>
      </w:pPr>
      <w:r w:rsidRPr="00715AB9">
        <w:rPr>
          <w:rFonts w:eastAsia="Times New Roman"/>
          <w:b/>
          <w:bCs/>
          <w:color w:val="000000" w:themeColor="text1"/>
          <w:sz w:val="27"/>
          <w:szCs w:val="27"/>
          <w:u w:val="single"/>
          <w:lang w:eastAsia="en-GB"/>
        </w:rPr>
        <w:t xml:space="preserve">Are Patients Admitted </w:t>
      </w:r>
      <w:proofErr w:type="gramStart"/>
      <w:r w:rsidRPr="00715AB9">
        <w:rPr>
          <w:rFonts w:eastAsia="Times New Roman"/>
          <w:b/>
          <w:bCs/>
          <w:color w:val="000000" w:themeColor="text1"/>
          <w:sz w:val="27"/>
          <w:szCs w:val="27"/>
          <w:u w:val="single"/>
          <w:lang w:eastAsia="en-GB"/>
        </w:rPr>
        <w:t>With</w:t>
      </w:r>
      <w:proofErr w:type="gramEnd"/>
      <w:r w:rsidRPr="00715AB9">
        <w:rPr>
          <w:rFonts w:eastAsia="Times New Roman"/>
          <w:b/>
          <w:bCs/>
          <w:color w:val="000000" w:themeColor="text1"/>
          <w:sz w:val="27"/>
          <w:szCs w:val="27"/>
          <w:u w:val="single"/>
          <w:lang w:eastAsia="en-GB"/>
        </w:rPr>
        <w:t xml:space="preserve"> Gallstone Pancreatitis Being Treated as per the Current UK Guidelines?</w:t>
      </w:r>
    </w:p>
    <w:p w14:paraId="22E3E7F2" w14:textId="77777777" w:rsidR="00715AB9" w:rsidRPr="00715AB9" w:rsidRDefault="00715AB9" w:rsidP="00A22F65">
      <w:pPr>
        <w:rPr>
          <w:rFonts w:eastAsia="Times New Roman"/>
          <w:b/>
          <w:bCs/>
          <w:color w:val="000000" w:themeColor="text1"/>
          <w:sz w:val="32"/>
          <w:szCs w:val="32"/>
          <w:u w:val="single"/>
          <w:lang w:eastAsia="en-GB"/>
        </w:rPr>
      </w:pPr>
    </w:p>
    <w:p w14:paraId="45832FDC" w14:textId="4533A6F6" w:rsidR="00A22F65" w:rsidRDefault="00A22F65" w:rsidP="00A22F65">
      <w:pPr>
        <w:rPr>
          <w:rFonts w:eastAsia="Times New Roman"/>
          <w:color w:val="212121"/>
          <w:sz w:val="22"/>
          <w:szCs w:val="22"/>
          <w:lang w:eastAsia="en-GB"/>
        </w:rPr>
      </w:pPr>
      <w:r>
        <w:rPr>
          <w:rFonts w:eastAsia="Times New Roman"/>
          <w:b/>
          <w:bCs/>
          <w:color w:val="000000" w:themeColor="text1"/>
          <w:sz w:val="22"/>
          <w:szCs w:val="22"/>
          <w:u w:val="single"/>
          <w:lang w:eastAsia="en-GB"/>
        </w:rPr>
        <w:t>Introduction</w:t>
      </w:r>
    </w:p>
    <w:p w14:paraId="54CFF0DC" w14:textId="1C45E8B0" w:rsidR="00A22F65" w:rsidRPr="006D7009" w:rsidRDefault="00A22F65" w:rsidP="00A22F65">
      <w:pPr>
        <w:rPr>
          <w:rFonts w:eastAsia="Times New Roman"/>
          <w:color w:val="000000" w:themeColor="text1"/>
          <w:sz w:val="22"/>
          <w:szCs w:val="22"/>
          <w:vertAlign w:val="superscript"/>
          <w:lang w:eastAsia="en-GB"/>
        </w:rPr>
      </w:pPr>
      <w:r w:rsidRPr="0E0A9956">
        <w:rPr>
          <w:rFonts w:eastAsia="Times New Roman"/>
          <w:color w:val="000000" w:themeColor="text1"/>
          <w:sz w:val="22"/>
          <w:szCs w:val="22"/>
          <w:lang w:eastAsia="en-GB"/>
        </w:rPr>
        <w:t>Gallstone disease is the leading risk factor for pancreatitis, an inflammatory condition wherein the exocrine pancreas releases its enzymes prematurely, leading to auto-digestion. Guidelines updated by the British Society of Gastroenterology (BSG) in 2005 state all patients with biliary pancreatitis should undergo definitive management of gallstones with cholecystectomy/ERCP and sphincterotomy during the same admission unless clear treatment within the next two weeks is planned. In severe acute pancreatitis, this should be delayed until signs of systemic disturbance have resolved.</w:t>
      </w:r>
      <w:r w:rsidR="00715AB9">
        <w:rPr>
          <w:rFonts w:eastAsia="Times New Roman"/>
          <w:color w:val="000000" w:themeColor="text1"/>
          <w:sz w:val="22"/>
          <w:szCs w:val="22"/>
          <w:lang w:eastAsia="en-GB"/>
        </w:rPr>
        <w:t xml:space="preserve"> </w:t>
      </w:r>
      <w:proofErr w:type="gramStart"/>
      <w:r w:rsidRPr="0A865C95">
        <w:rPr>
          <w:rFonts w:eastAsia="Times New Roman"/>
          <w:color w:val="000000" w:themeColor="text1"/>
          <w:sz w:val="22"/>
          <w:szCs w:val="22"/>
          <w:lang w:eastAsia="en-GB"/>
        </w:rPr>
        <w:t>This</w:t>
      </w:r>
      <w:proofErr w:type="gramEnd"/>
      <w:r w:rsidRPr="0A865C95">
        <w:rPr>
          <w:rFonts w:eastAsia="Times New Roman"/>
          <w:color w:val="000000" w:themeColor="text1"/>
          <w:sz w:val="22"/>
          <w:szCs w:val="22"/>
          <w:lang w:eastAsia="en-GB"/>
        </w:rPr>
        <w:t xml:space="preserve"> audit aim</w:t>
      </w:r>
      <w:r>
        <w:rPr>
          <w:rFonts w:eastAsia="Times New Roman"/>
          <w:color w:val="000000" w:themeColor="text1"/>
          <w:sz w:val="22"/>
          <w:szCs w:val="22"/>
          <w:lang w:eastAsia="en-GB"/>
        </w:rPr>
        <w:t>ed</w:t>
      </w:r>
      <w:r w:rsidRPr="0A865C95">
        <w:rPr>
          <w:rFonts w:eastAsia="Times New Roman"/>
          <w:color w:val="000000" w:themeColor="text1"/>
          <w:sz w:val="22"/>
          <w:szCs w:val="22"/>
          <w:lang w:eastAsia="en-GB"/>
        </w:rPr>
        <w:t xml:space="preserve"> to establish if </w:t>
      </w:r>
      <w:r w:rsidRPr="7385087B">
        <w:rPr>
          <w:rFonts w:eastAsia="Times New Roman"/>
          <w:color w:val="000000" w:themeColor="text1"/>
          <w:sz w:val="22"/>
          <w:szCs w:val="22"/>
          <w:lang w:eastAsia="en-GB"/>
        </w:rPr>
        <w:t>national</w:t>
      </w:r>
      <w:r w:rsidRPr="0A865C95">
        <w:rPr>
          <w:rFonts w:eastAsia="Times New Roman"/>
          <w:color w:val="000000" w:themeColor="text1"/>
          <w:sz w:val="22"/>
          <w:szCs w:val="22"/>
          <w:lang w:eastAsia="en-GB"/>
        </w:rPr>
        <w:t xml:space="preserve"> guidelines </w:t>
      </w:r>
      <w:r>
        <w:rPr>
          <w:rFonts w:eastAsia="Times New Roman"/>
          <w:color w:val="000000" w:themeColor="text1"/>
          <w:sz w:val="22"/>
          <w:szCs w:val="22"/>
          <w:lang w:eastAsia="en-GB"/>
        </w:rPr>
        <w:t>had</w:t>
      </w:r>
      <w:r w:rsidRPr="0A865C95">
        <w:rPr>
          <w:rFonts w:eastAsia="Times New Roman"/>
          <w:color w:val="000000" w:themeColor="text1"/>
          <w:sz w:val="22"/>
          <w:szCs w:val="22"/>
          <w:lang w:eastAsia="en-GB"/>
        </w:rPr>
        <w:t xml:space="preserve"> been met</w:t>
      </w:r>
      <w:r>
        <w:rPr>
          <w:rFonts w:eastAsia="Times New Roman"/>
          <w:color w:val="000000" w:themeColor="text1"/>
          <w:sz w:val="22"/>
          <w:szCs w:val="22"/>
          <w:lang w:eastAsia="en-GB"/>
        </w:rPr>
        <w:t xml:space="preserve"> at Birmingham Heartlands Hospital, </w:t>
      </w:r>
      <w:r w:rsidRPr="0A865C95">
        <w:rPr>
          <w:rFonts w:eastAsia="Times New Roman"/>
          <w:color w:val="000000" w:themeColor="text1"/>
          <w:sz w:val="22"/>
          <w:szCs w:val="22"/>
          <w:lang w:eastAsia="en-GB"/>
        </w:rPr>
        <w:t xml:space="preserve">and </w:t>
      </w:r>
      <w:r>
        <w:rPr>
          <w:rFonts w:eastAsia="Times New Roman"/>
          <w:color w:val="000000" w:themeColor="text1"/>
          <w:sz w:val="22"/>
          <w:szCs w:val="22"/>
          <w:lang w:eastAsia="en-GB"/>
        </w:rPr>
        <w:t xml:space="preserve">to identify any steps that can be taken to improve </w:t>
      </w:r>
      <w:r w:rsidRPr="0A865C95">
        <w:rPr>
          <w:rFonts w:eastAsia="Times New Roman"/>
          <w:color w:val="000000" w:themeColor="text1"/>
          <w:sz w:val="22"/>
          <w:szCs w:val="22"/>
          <w:lang w:eastAsia="en-GB"/>
        </w:rPr>
        <w:t xml:space="preserve">adherence to </w:t>
      </w:r>
      <w:r>
        <w:rPr>
          <w:rFonts w:eastAsia="Times New Roman"/>
          <w:color w:val="000000" w:themeColor="text1"/>
          <w:sz w:val="22"/>
          <w:szCs w:val="22"/>
          <w:lang w:eastAsia="en-GB"/>
        </w:rPr>
        <w:t>the guidelines</w:t>
      </w:r>
      <w:r w:rsidRPr="0A865C95">
        <w:rPr>
          <w:rFonts w:eastAsia="Times New Roman"/>
          <w:color w:val="000000" w:themeColor="text1"/>
          <w:sz w:val="22"/>
          <w:szCs w:val="22"/>
          <w:lang w:eastAsia="en-GB"/>
        </w:rPr>
        <w:t>.</w:t>
      </w:r>
    </w:p>
    <w:p w14:paraId="485819AA" w14:textId="77777777" w:rsidR="00A22F65" w:rsidRDefault="00A22F65" w:rsidP="00A22F65">
      <w:pPr>
        <w:rPr>
          <w:rFonts w:eastAsia="Times New Roman"/>
          <w:color w:val="212121"/>
          <w:sz w:val="22"/>
          <w:szCs w:val="22"/>
          <w:lang w:eastAsia="en-GB"/>
        </w:rPr>
      </w:pPr>
      <w:r w:rsidRPr="0A865C95">
        <w:rPr>
          <w:rFonts w:eastAsia="Times New Roman"/>
          <w:color w:val="000000" w:themeColor="text1"/>
          <w:sz w:val="22"/>
          <w:szCs w:val="22"/>
          <w:lang w:eastAsia="en-GB"/>
        </w:rPr>
        <w:t> </w:t>
      </w:r>
    </w:p>
    <w:p w14:paraId="76DD5E41" w14:textId="77777777" w:rsidR="00A22F65" w:rsidRDefault="00A22F65" w:rsidP="00A22F65">
      <w:pPr>
        <w:rPr>
          <w:rFonts w:eastAsia="Times New Roman"/>
          <w:color w:val="212121"/>
          <w:sz w:val="22"/>
          <w:szCs w:val="22"/>
          <w:lang w:eastAsia="en-GB"/>
        </w:rPr>
      </w:pPr>
      <w:r w:rsidRPr="0A865C95">
        <w:rPr>
          <w:rFonts w:eastAsia="Times New Roman"/>
          <w:b/>
          <w:bCs/>
          <w:color w:val="000000" w:themeColor="text1"/>
          <w:sz w:val="22"/>
          <w:szCs w:val="22"/>
          <w:u w:val="single"/>
          <w:lang w:eastAsia="en-GB"/>
        </w:rPr>
        <w:t>Methods</w:t>
      </w:r>
    </w:p>
    <w:p w14:paraId="2575D91A" w14:textId="77777777" w:rsidR="00A22F65" w:rsidRDefault="00A22F65" w:rsidP="00A22F65">
      <w:pPr>
        <w:rPr>
          <w:rFonts w:eastAsia="Times New Roman"/>
          <w:color w:val="000000" w:themeColor="text1"/>
          <w:sz w:val="22"/>
          <w:szCs w:val="22"/>
          <w:lang w:eastAsia="en-GB"/>
        </w:rPr>
      </w:pPr>
      <w:r w:rsidRPr="00CC555A">
        <w:rPr>
          <w:rFonts w:eastAsia="Times New Roman"/>
          <w:noProof/>
          <w:color w:val="000000" w:themeColor="text1"/>
          <w:sz w:val="22"/>
          <w:szCs w:val="22"/>
          <w:lang w:eastAsia="en-GB"/>
        </w:rPr>
        <w:drawing>
          <wp:anchor distT="0" distB="0" distL="114300" distR="114300" simplePos="0" relativeHeight="251659264" behindDoc="1" locked="0" layoutInCell="1" allowOverlap="1" wp14:anchorId="41AAA46B" wp14:editId="3FCD35F8">
            <wp:simplePos x="0" y="0"/>
            <wp:positionH relativeFrom="margin">
              <wp:posOffset>4810125</wp:posOffset>
            </wp:positionH>
            <wp:positionV relativeFrom="paragraph">
              <wp:posOffset>6350</wp:posOffset>
            </wp:positionV>
            <wp:extent cx="1562100" cy="1473200"/>
            <wp:effectExtent l="0" t="0" r="0" b="0"/>
            <wp:wrapTight wrapText="bothSides">
              <wp:wrapPolygon edited="0">
                <wp:start x="0" y="0"/>
                <wp:lineTo x="0" y="21228"/>
                <wp:lineTo x="21337" y="21228"/>
                <wp:lineTo x="21337" y="0"/>
                <wp:lineTo x="0" y="0"/>
              </wp:wrapPolygon>
            </wp:wrapTight>
            <wp:docPr id="1315586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586663"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62100" cy="1473200"/>
                    </a:xfrm>
                    <a:prstGeom prst="rect">
                      <a:avLst/>
                    </a:prstGeom>
                  </pic:spPr>
                </pic:pic>
              </a:graphicData>
            </a:graphic>
            <wp14:sizeRelH relativeFrom="margin">
              <wp14:pctWidth>0</wp14:pctWidth>
            </wp14:sizeRelH>
            <wp14:sizeRelV relativeFrom="margin">
              <wp14:pctHeight>0</wp14:pctHeight>
            </wp14:sizeRelV>
          </wp:anchor>
        </w:drawing>
      </w:r>
      <w:r>
        <w:rPr>
          <w:rFonts w:eastAsia="Times New Roman"/>
          <w:color w:val="000000" w:themeColor="text1"/>
          <w:sz w:val="22"/>
          <w:szCs w:val="22"/>
          <w:lang w:eastAsia="en-GB"/>
        </w:rPr>
        <w:t xml:space="preserve">Data was </w:t>
      </w:r>
      <w:r w:rsidRPr="0A865C95">
        <w:rPr>
          <w:rFonts w:eastAsia="Times New Roman"/>
          <w:color w:val="000000" w:themeColor="text1"/>
          <w:sz w:val="22"/>
          <w:szCs w:val="22"/>
          <w:lang w:eastAsia="en-GB"/>
        </w:rPr>
        <w:t>collect</w:t>
      </w:r>
      <w:r>
        <w:rPr>
          <w:rFonts w:eastAsia="Times New Roman"/>
          <w:color w:val="000000" w:themeColor="text1"/>
          <w:sz w:val="22"/>
          <w:szCs w:val="22"/>
          <w:lang w:eastAsia="en-GB"/>
        </w:rPr>
        <w:t xml:space="preserve">ed </w:t>
      </w:r>
      <w:r w:rsidRPr="0A865C95">
        <w:rPr>
          <w:rFonts w:eastAsia="Times New Roman"/>
          <w:color w:val="000000" w:themeColor="text1"/>
          <w:sz w:val="22"/>
          <w:szCs w:val="22"/>
          <w:lang w:eastAsia="en-GB"/>
        </w:rPr>
        <w:t xml:space="preserve">on patients admitted </w:t>
      </w:r>
      <w:r>
        <w:rPr>
          <w:rFonts w:eastAsia="Times New Roman"/>
          <w:color w:val="000000" w:themeColor="text1"/>
          <w:sz w:val="22"/>
          <w:szCs w:val="22"/>
          <w:lang w:eastAsia="en-GB"/>
        </w:rPr>
        <w:t>to the</w:t>
      </w:r>
      <w:r w:rsidRPr="0A865C95">
        <w:rPr>
          <w:rFonts w:eastAsia="Times New Roman"/>
          <w:color w:val="000000" w:themeColor="text1"/>
          <w:sz w:val="22"/>
          <w:szCs w:val="22"/>
          <w:lang w:eastAsia="en-GB"/>
        </w:rPr>
        <w:t xml:space="preserve"> general surgery </w:t>
      </w:r>
      <w:r>
        <w:rPr>
          <w:rFonts w:eastAsia="Times New Roman"/>
          <w:color w:val="000000" w:themeColor="text1"/>
          <w:sz w:val="22"/>
          <w:szCs w:val="22"/>
          <w:lang w:eastAsia="en-GB"/>
        </w:rPr>
        <w:t xml:space="preserve">ward </w:t>
      </w:r>
      <w:r w:rsidRPr="0A865C95">
        <w:rPr>
          <w:rFonts w:eastAsia="Times New Roman"/>
          <w:color w:val="000000" w:themeColor="text1"/>
          <w:sz w:val="22"/>
          <w:szCs w:val="22"/>
          <w:lang w:eastAsia="en-GB"/>
        </w:rPr>
        <w:t xml:space="preserve">from January </w:t>
      </w:r>
      <w:r>
        <w:rPr>
          <w:rFonts w:eastAsia="Times New Roman"/>
          <w:color w:val="000000" w:themeColor="text1"/>
          <w:sz w:val="22"/>
          <w:szCs w:val="22"/>
          <w:lang w:eastAsia="en-GB"/>
        </w:rPr>
        <w:t>1</w:t>
      </w:r>
      <w:r w:rsidRPr="004816E1">
        <w:rPr>
          <w:rFonts w:eastAsia="Times New Roman"/>
          <w:color w:val="000000" w:themeColor="text1"/>
          <w:sz w:val="22"/>
          <w:szCs w:val="22"/>
          <w:vertAlign w:val="superscript"/>
          <w:lang w:eastAsia="en-GB"/>
        </w:rPr>
        <w:t>st</w:t>
      </w:r>
      <w:r>
        <w:rPr>
          <w:rFonts w:eastAsia="Times New Roman"/>
          <w:color w:val="000000" w:themeColor="text1"/>
          <w:sz w:val="22"/>
          <w:szCs w:val="22"/>
          <w:lang w:eastAsia="en-GB"/>
        </w:rPr>
        <w:t xml:space="preserve"> </w:t>
      </w:r>
      <w:r w:rsidRPr="0A865C95">
        <w:rPr>
          <w:rFonts w:eastAsia="Times New Roman"/>
          <w:color w:val="000000" w:themeColor="text1"/>
          <w:sz w:val="22"/>
          <w:szCs w:val="22"/>
          <w:lang w:eastAsia="en-GB"/>
        </w:rPr>
        <w:t>2023</w:t>
      </w:r>
      <w:r>
        <w:rPr>
          <w:rFonts w:eastAsia="Times New Roman"/>
          <w:color w:val="000000" w:themeColor="text1"/>
          <w:sz w:val="22"/>
          <w:szCs w:val="22"/>
          <w:lang w:eastAsia="en-GB"/>
        </w:rPr>
        <w:t xml:space="preserve"> to June 30</w:t>
      </w:r>
      <w:r w:rsidRPr="004816E1">
        <w:rPr>
          <w:rFonts w:eastAsia="Times New Roman"/>
          <w:color w:val="000000" w:themeColor="text1"/>
          <w:sz w:val="22"/>
          <w:szCs w:val="22"/>
          <w:vertAlign w:val="superscript"/>
          <w:lang w:eastAsia="en-GB"/>
        </w:rPr>
        <w:t>th</w:t>
      </w:r>
      <w:r>
        <w:rPr>
          <w:rFonts w:eastAsia="Times New Roman"/>
          <w:color w:val="000000" w:themeColor="text1"/>
          <w:sz w:val="22"/>
          <w:szCs w:val="22"/>
          <w:lang w:eastAsia="en-GB"/>
        </w:rPr>
        <w:t xml:space="preserve"> 2023 and</w:t>
      </w:r>
      <w:r w:rsidRPr="0A865C95">
        <w:rPr>
          <w:rFonts w:eastAsia="Times New Roman"/>
          <w:color w:val="000000" w:themeColor="text1"/>
          <w:sz w:val="22"/>
          <w:szCs w:val="22"/>
          <w:lang w:eastAsia="en-GB"/>
        </w:rPr>
        <w:t xml:space="preserve"> diagnosed with gallstone pancreatitis (approximately 100 patients) to ascertain if they received definitive treatment for their gallstones as </w:t>
      </w:r>
      <w:r w:rsidRPr="49E9595F">
        <w:rPr>
          <w:rFonts w:eastAsia="Times New Roman"/>
          <w:color w:val="000000" w:themeColor="text1"/>
          <w:sz w:val="22"/>
          <w:szCs w:val="22"/>
          <w:lang w:eastAsia="en-GB"/>
        </w:rPr>
        <w:t>indicated by</w:t>
      </w:r>
      <w:r w:rsidRPr="0A865C95">
        <w:rPr>
          <w:rFonts w:eastAsia="Times New Roman"/>
          <w:color w:val="000000" w:themeColor="text1"/>
          <w:sz w:val="22"/>
          <w:szCs w:val="22"/>
          <w:lang w:eastAsia="en-GB"/>
        </w:rPr>
        <w:t xml:space="preserve"> guidelines. If </w:t>
      </w:r>
      <w:r>
        <w:rPr>
          <w:rFonts w:eastAsia="Times New Roman"/>
          <w:color w:val="000000" w:themeColor="text1"/>
          <w:sz w:val="22"/>
          <w:szCs w:val="22"/>
          <w:lang w:eastAsia="en-GB"/>
        </w:rPr>
        <w:t>they had not been treated according to the guidelines</w:t>
      </w:r>
      <w:r w:rsidRPr="0A865C95">
        <w:rPr>
          <w:rFonts w:eastAsia="Times New Roman"/>
          <w:color w:val="000000" w:themeColor="text1"/>
          <w:sz w:val="22"/>
          <w:szCs w:val="22"/>
          <w:lang w:eastAsia="en-GB"/>
        </w:rPr>
        <w:t xml:space="preserve">, </w:t>
      </w:r>
      <w:r>
        <w:rPr>
          <w:rFonts w:eastAsia="Times New Roman"/>
          <w:color w:val="000000" w:themeColor="text1"/>
          <w:sz w:val="22"/>
          <w:szCs w:val="22"/>
          <w:lang w:eastAsia="en-GB"/>
        </w:rPr>
        <w:t>the patients were followed up</w:t>
      </w:r>
      <w:r w:rsidRPr="0A865C95">
        <w:rPr>
          <w:rFonts w:eastAsia="Times New Roman"/>
          <w:color w:val="000000" w:themeColor="text1"/>
          <w:sz w:val="22"/>
          <w:szCs w:val="22"/>
          <w:lang w:eastAsia="en-GB"/>
        </w:rPr>
        <w:t xml:space="preserve"> for 3 months to see if they developed complications or were re-admitted. </w:t>
      </w:r>
      <w:r>
        <w:rPr>
          <w:rFonts w:eastAsia="Times New Roman"/>
          <w:color w:val="000000" w:themeColor="text1"/>
          <w:sz w:val="22"/>
          <w:szCs w:val="22"/>
          <w:lang w:eastAsia="en-GB"/>
        </w:rPr>
        <w:t>Data was collected for different variables such as:</w:t>
      </w:r>
      <w:r w:rsidRPr="0A865C95">
        <w:rPr>
          <w:rFonts w:eastAsia="Times New Roman"/>
          <w:color w:val="000000" w:themeColor="text1"/>
          <w:sz w:val="22"/>
          <w:szCs w:val="22"/>
          <w:lang w:eastAsia="en-GB"/>
        </w:rPr>
        <w:t xml:space="preserve"> time to diagnosis, </w:t>
      </w:r>
      <w:r w:rsidRPr="2BCE6272">
        <w:rPr>
          <w:rFonts w:eastAsia="Times New Roman"/>
          <w:color w:val="000000" w:themeColor="text1"/>
          <w:sz w:val="22"/>
          <w:szCs w:val="22"/>
          <w:lang w:eastAsia="en-GB"/>
        </w:rPr>
        <w:t>diagnostic investigations</w:t>
      </w:r>
      <w:r w:rsidRPr="0A865C95">
        <w:rPr>
          <w:rFonts w:eastAsia="Times New Roman"/>
          <w:color w:val="000000" w:themeColor="text1"/>
          <w:sz w:val="22"/>
          <w:szCs w:val="22"/>
          <w:lang w:eastAsia="en-GB"/>
        </w:rPr>
        <w:t xml:space="preserve">, risk stratification, length and complications during the stay, mode of nutrition, and deaths reported. </w:t>
      </w:r>
      <w:r>
        <w:rPr>
          <w:rFonts w:eastAsia="Times New Roman"/>
          <w:color w:val="000000" w:themeColor="text1"/>
          <w:sz w:val="22"/>
          <w:szCs w:val="22"/>
          <w:lang w:eastAsia="en-GB"/>
        </w:rPr>
        <w:t xml:space="preserve">Microsoft Excel was used to collect the data and calibrate the results. </w:t>
      </w:r>
    </w:p>
    <w:p w14:paraId="35168D18" w14:textId="77777777" w:rsidR="00A22F65" w:rsidRDefault="00A22F65" w:rsidP="00A22F65">
      <w:pPr>
        <w:rPr>
          <w:rFonts w:eastAsia="Times New Roman"/>
          <w:color w:val="000000" w:themeColor="text1"/>
          <w:sz w:val="22"/>
          <w:szCs w:val="22"/>
          <w:lang w:eastAsia="en-GB"/>
        </w:rPr>
      </w:pPr>
    </w:p>
    <w:p w14:paraId="3D2F929B" w14:textId="77777777" w:rsidR="00A22F65" w:rsidRDefault="00A22F65" w:rsidP="00A22F65">
      <w:pPr>
        <w:rPr>
          <w:rFonts w:eastAsia="Times New Roman"/>
          <w:b/>
          <w:bCs/>
          <w:color w:val="212121"/>
          <w:sz w:val="22"/>
          <w:szCs w:val="22"/>
          <w:u w:val="single"/>
          <w:lang w:eastAsia="en-GB"/>
        </w:rPr>
      </w:pPr>
      <w:r>
        <w:rPr>
          <w:rFonts w:eastAsia="Times New Roman"/>
          <w:b/>
          <w:bCs/>
          <w:color w:val="000000" w:themeColor="text1"/>
          <w:sz w:val="22"/>
          <w:szCs w:val="22"/>
          <w:u w:val="single"/>
          <w:lang w:eastAsia="en-GB"/>
        </w:rPr>
        <w:t xml:space="preserve">Results </w:t>
      </w:r>
    </w:p>
    <w:p w14:paraId="651829AF" w14:textId="77777777" w:rsidR="00B912C4" w:rsidRPr="006D7009" w:rsidRDefault="00A22F65" w:rsidP="00A22F65">
      <w:pPr>
        <w:rPr>
          <w:sz w:val="22"/>
          <w:szCs w:val="22"/>
        </w:rPr>
      </w:pPr>
      <w:r w:rsidRPr="00CC555A">
        <w:rPr>
          <w:rFonts w:eastAsia="Times New Roman"/>
          <w:noProof/>
          <w:color w:val="000000" w:themeColor="text1"/>
          <w:sz w:val="22"/>
          <w:szCs w:val="22"/>
          <w:lang w:eastAsia="en-GB"/>
        </w:rPr>
        <w:drawing>
          <wp:anchor distT="0" distB="0" distL="114300" distR="114300" simplePos="0" relativeHeight="251660288" behindDoc="1" locked="0" layoutInCell="1" allowOverlap="1" wp14:anchorId="2332C1F3" wp14:editId="6D473E0C">
            <wp:simplePos x="0" y="0"/>
            <wp:positionH relativeFrom="margin">
              <wp:posOffset>3190875</wp:posOffset>
            </wp:positionH>
            <wp:positionV relativeFrom="paragraph">
              <wp:posOffset>231140</wp:posOffset>
            </wp:positionV>
            <wp:extent cx="3343275" cy="1491615"/>
            <wp:effectExtent l="0" t="0" r="9525" b="0"/>
            <wp:wrapTight wrapText="bothSides">
              <wp:wrapPolygon edited="0">
                <wp:start x="0" y="0"/>
                <wp:lineTo x="0" y="21241"/>
                <wp:lineTo x="21538" y="21241"/>
                <wp:lineTo x="21538" y="0"/>
                <wp:lineTo x="0" y="0"/>
              </wp:wrapPolygon>
            </wp:wrapTight>
            <wp:docPr id="607389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389763" name=""/>
                    <pic:cNvPicPr/>
                  </pic:nvPicPr>
                  <pic:blipFill>
                    <a:blip r:embed="rId5">
                      <a:extLst>
                        <a:ext uri="{28A0092B-C50C-407E-A947-70E740481C1C}">
                          <a14:useLocalDpi xmlns:a14="http://schemas.microsoft.com/office/drawing/2010/main" val="0"/>
                        </a:ext>
                      </a:extLst>
                    </a:blip>
                    <a:stretch>
                      <a:fillRect/>
                    </a:stretch>
                  </pic:blipFill>
                  <pic:spPr>
                    <a:xfrm>
                      <a:off x="0" y="0"/>
                      <a:ext cx="3343275" cy="1491615"/>
                    </a:xfrm>
                    <a:prstGeom prst="rect">
                      <a:avLst/>
                    </a:prstGeom>
                  </pic:spPr>
                </pic:pic>
              </a:graphicData>
            </a:graphic>
            <wp14:sizeRelH relativeFrom="margin">
              <wp14:pctWidth>0</wp14:pctWidth>
            </wp14:sizeRelH>
            <wp14:sizeRelV relativeFrom="margin">
              <wp14:pctHeight>0</wp14:pctHeight>
            </wp14:sizeRelV>
          </wp:anchor>
        </w:drawing>
      </w:r>
      <w:r w:rsidRPr="00CC555A">
        <w:rPr>
          <w:noProof/>
          <w:sz w:val="22"/>
          <w:szCs w:val="22"/>
        </w:rPr>
        <w:drawing>
          <wp:anchor distT="0" distB="0" distL="114300" distR="114300" simplePos="0" relativeHeight="251661312" behindDoc="1" locked="0" layoutInCell="1" allowOverlap="1" wp14:anchorId="61244A18" wp14:editId="483B5EBF">
            <wp:simplePos x="0" y="0"/>
            <wp:positionH relativeFrom="page">
              <wp:posOffset>3912235</wp:posOffset>
            </wp:positionH>
            <wp:positionV relativeFrom="paragraph">
              <wp:posOffset>1800225</wp:posOffset>
            </wp:positionV>
            <wp:extent cx="3257550" cy="859155"/>
            <wp:effectExtent l="0" t="0" r="0" b="0"/>
            <wp:wrapTight wrapText="bothSides">
              <wp:wrapPolygon edited="0">
                <wp:start x="0" y="0"/>
                <wp:lineTo x="0" y="21073"/>
                <wp:lineTo x="21474" y="21073"/>
                <wp:lineTo x="21474" y="0"/>
                <wp:lineTo x="0" y="0"/>
              </wp:wrapPolygon>
            </wp:wrapTight>
            <wp:docPr id="2116061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061525" name=""/>
                    <pic:cNvPicPr/>
                  </pic:nvPicPr>
                  <pic:blipFill>
                    <a:blip r:embed="rId6">
                      <a:extLst>
                        <a:ext uri="{28A0092B-C50C-407E-A947-70E740481C1C}">
                          <a14:useLocalDpi xmlns:a14="http://schemas.microsoft.com/office/drawing/2010/main" val="0"/>
                        </a:ext>
                      </a:extLst>
                    </a:blip>
                    <a:stretch>
                      <a:fillRect/>
                    </a:stretch>
                  </pic:blipFill>
                  <pic:spPr>
                    <a:xfrm>
                      <a:off x="0" y="0"/>
                      <a:ext cx="3257550" cy="859155"/>
                    </a:xfrm>
                    <a:prstGeom prst="rect">
                      <a:avLst/>
                    </a:prstGeom>
                  </pic:spPr>
                </pic:pic>
              </a:graphicData>
            </a:graphic>
            <wp14:sizeRelH relativeFrom="margin">
              <wp14:pctWidth>0</wp14:pctWidth>
            </wp14:sizeRelH>
            <wp14:sizeRelV relativeFrom="margin">
              <wp14:pctHeight>0</wp14:pctHeight>
            </wp14:sizeRelV>
          </wp:anchor>
        </w:drawing>
      </w:r>
      <w:r w:rsidR="00B912C4" w:rsidRPr="004816E1">
        <w:rPr>
          <w:sz w:val="22"/>
          <w:szCs w:val="22"/>
          <w:lang w:val="en-US"/>
        </w:rPr>
        <w:t xml:space="preserve">In total, 47% of patients </w:t>
      </w:r>
      <w:r>
        <w:rPr>
          <w:sz w:val="22"/>
          <w:szCs w:val="22"/>
          <w:lang w:val="en-US"/>
        </w:rPr>
        <w:t>did not</w:t>
      </w:r>
      <w:r w:rsidR="00B912C4" w:rsidRPr="004816E1">
        <w:rPr>
          <w:sz w:val="22"/>
          <w:szCs w:val="22"/>
          <w:lang w:val="en-US"/>
        </w:rPr>
        <w:t xml:space="preserve"> receive an appropriate intervention according to the BSG guidelines</w:t>
      </w:r>
      <w:r>
        <w:rPr>
          <w:sz w:val="22"/>
          <w:szCs w:val="22"/>
          <w:lang w:val="en-US"/>
        </w:rPr>
        <w:t xml:space="preserve">. </w:t>
      </w:r>
      <w:r w:rsidR="00B912C4" w:rsidRPr="006D7009">
        <w:rPr>
          <w:sz w:val="22"/>
          <w:szCs w:val="22"/>
        </w:rPr>
        <w:t>Severity score was</w:t>
      </w:r>
      <w:r>
        <w:rPr>
          <w:sz w:val="22"/>
          <w:szCs w:val="22"/>
        </w:rPr>
        <w:t xml:space="preserve"> also</w:t>
      </w:r>
      <w:r w:rsidR="00B912C4" w:rsidRPr="006D7009">
        <w:rPr>
          <w:sz w:val="22"/>
          <w:szCs w:val="22"/>
        </w:rPr>
        <w:t xml:space="preserve"> </w:t>
      </w:r>
      <w:r>
        <w:rPr>
          <w:sz w:val="22"/>
          <w:szCs w:val="22"/>
        </w:rPr>
        <w:t xml:space="preserve">found to be </w:t>
      </w:r>
      <w:r w:rsidR="00B912C4" w:rsidRPr="006D7009">
        <w:rPr>
          <w:sz w:val="22"/>
          <w:szCs w:val="22"/>
        </w:rPr>
        <w:t>poorly documented, with only 20% of patients having had their score noted. 59% of patients received antibiotics, and only 27% of these had a clear indication documented for receiving them. Nutrition was managed well, with all patients receiving IV fluids and having an enteral mode of nutrition established. 9% were to receive a laparoscopic cholecystectomy via the HTC pathway and 29% via the inpatient waiting list.  As the dataset was limited and based only on one single secondary care setting, this reduces the generalisability of our results</w:t>
      </w:r>
      <w:r>
        <w:rPr>
          <w:sz w:val="22"/>
          <w:szCs w:val="22"/>
        </w:rPr>
        <w:t xml:space="preserve">. </w:t>
      </w:r>
      <w:r w:rsidR="00B912C4" w:rsidRPr="006D7009">
        <w:rPr>
          <w:sz w:val="22"/>
          <w:szCs w:val="22"/>
        </w:rPr>
        <w:t>However, the dataset was very recent and so would be representative of the current practices in the trust.</w:t>
      </w:r>
      <w:r w:rsidRPr="00CC555A">
        <w:rPr>
          <w:sz w:val="22"/>
          <w:szCs w:val="22"/>
        </w:rPr>
        <w:t xml:space="preserve"> </w:t>
      </w:r>
    </w:p>
    <w:p w14:paraId="6B04158F" w14:textId="77777777" w:rsidR="00A22F65" w:rsidRDefault="00A22F65" w:rsidP="00A22F65">
      <w:pPr>
        <w:rPr>
          <w:sz w:val="22"/>
          <w:szCs w:val="22"/>
        </w:rPr>
      </w:pPr>
    </w:p>
    <w:p w14:paraId="16BBF9E0" w14:textId="77777777" w:rsidR="00A22F65" w:rsidRDefault="00A22F65" w:rsidP="00A22F65">
      <w:pPr>
        <w:rPr>
          <w:rFonts w:eastAsia="Times New Roman"/>
          <w:b/>
          <w:bCs/>
          <w:color w:val="212121"/>
          <w:sz w:val="22"/>
          <w:szCs w:val="22"/>
          <w:u w:val="single"/>
          <w:lang w:eastAsia="en-GB"/>
        </w:rPr>
      </w:pPr>
      <w:r>
        <w:rPr>
          <w:rFonts w:eastAsia="Times New Roman"/>
          <w:b/>
          <w:bCs/>
          <w:color w:val="000000" w:themeColor="text1"/>
          <w:sz w:val="22"/>
          <w:szCs w:val="22"/>
          <w:u w:val="single"/>
          <w:lang w:eastAsia="en-GB"/>
        </w:rPr>
        <w:t xml:space="preserve">Conclusions </w:t>
      </w:r>
    </w:p>
    <w:p w14:paraId="7D9E7220" w14:textId="59DF1896" w:rsidR="004B6D54" w:rsidRPr="00715AB9" w:rsidRDefault="00B912C4">
      <w:pPr>
        <w:rPr>
          <w:sz w:val="22"/>
          <w:szCs w:val="22"/>
        </w:rPr>
      </w:pPr>
      <w:r w:rsidRPr="006D7009">
        <w:rPr>
          <w:sz w:val="22"/>
          <w:szCs w:val="22"/>
        </w:rPr>
        <w:t>Adequate documentation of severity score is key in ensuring the guidelines are followed. The ability of scoring systems to accurately predict pancreatitis outcomes is evident from the literature.</w:t>
      </w:r>
      <w:r>
        <w:rPr>
          <w:sz w:val="22"/>
          <w:szCs w:val="22"/>
          <w:vertAlign w:val="superscript"/>
        </w:rPr>
        <w:t xml:space="preserve"> </w:t>
      </w:r>
      <w:r w:rsidRPr="006D7009">
        <w:rPr>
          <w:sz w:val="22"/>
          <w:szCs w:val="22"/>
        </w:rPr>
        <w:t xml:space="preserve">Antibiotic use must </w:t>
      </w:r>
      <w:r w:rsidR="00A22F65">
        <w:rPr>
          <w:sz w:val="22"/>
          <w:szCs w:val="22"/>
        </w:rPr>
        <w:t xml:space="preserve">also </w:t>
      </w:r>
      <w:r w:rsidRPr="006D7009">
        <w:rPr>
          <w:sz w:val="22"/>
          <w:szCs w:val="22"/>
        </w:rPr>
        <w:t>be justified </w:t>
      </w:r>
      <w:r w:rsidR="00A22F65">
        <w:rPr>
          <w:sz w:val="22"/>
          <w:szCs w:val="22"/>
        </w:rPr>
        <w:t xml:space="preserve">as </w:t>
      </w:r>
      <w:r w:rsidRPr="006D7009">
        <w:rPr>
          <w:sz w:val="22"/>
          <w:szCs w:val="22"/>
        </w:rPr>
        <w:t>regular use is not endorsed by the literature</w:t>
      </w:r>
      <w:r w:rsidR="00A22F65">
        <w:rPr>
          <w:sz w:val="22"/>
          <w:szCs w:val="22"/>
        </w:rPr>
        <w:t>, and more detailed noting of this is required</w:t>
      </w:r>
      <w:r w:rsidRPr="006D7009">
        <w:rPr>
          <w:sz w:val="22"/>
          <w:szCs w:val="22"/>
        </w:rPr>
        <w:t>.</w:t>
      </w:r>
      <w:r>
        <w:rPr>
          <w:sz w:val="22"/>
          <w:szCs w:val="22"/>
          <w:vertAlign w:val="superscript"/>
        </w:rPr>
        <w:t xml:space="preserve"> </w:t>
      </w:r>
      <w:r w:rsidR="00A22F65">
        <w:rPr>
          <w:sz w:val="22"/>
          <w:szCs w:val="22"/>
        </w:rPr>
        <w:t>There is also an u</w:t>
      </w:r>
      <w:r w:rsidRPr="006D7009">
        <w:rPr>
          <w:sz w:val="22"/>
          <w:szCs w:val="22"/>
        </w:rPr>
        <w:t xml:space="preserve">rgent need for all patients to receive clear follow-up plan from discharge to reduce </w:t>
      </w:r>
      <w:r w:rsidR="00A22F65">
        <w:rPr>
          <w:sz w:val="22"/>
          <w:szCs w:val="22"/>
        </w:rPr>
        <w:t xml:space="preserve">the </w:t>
      </w:r>
      <w:r w:rsidRPr="006D7009">
        <w:rPr>
          <w:sz w:val="22"/>
          <w:szCs w:val="22"/>
        </w:rPr>
        <w:t xml:space="preserve">risk of readmission. </w:t>
      </w:r>
      <w:r w:rsidR="00A22F65">
        <w:rPr>
          <w:sz w:val="22"/>
          <w:szCs w:val="22"/>
        </w:rPr>
        <w:t>In order to</w:t>
      </w:r>
      <w:r w:rsidRPr="006D7009">
        <w:rPr>
          <w:sz w:val="22"/>
          <w:szCs w:val="22"/>
        </w:rPr>
        <w:t xml:space="preserve"> improve documentation in </w:t>
      </w:r>
      <w:r w:rsidR="00A22F65">
        <w:rPr>
          <w:sz w:val="22"/>
          <w:szCs w:val="22"/>
        </w:rPr>
        <w:t xml:space="preserve">the </w:t>
      </w:r>
      <w:r w:rsidRPr="006D7009">
        <w:rPr>
          <w:sz w:val="22"/>
          <w:szCs w:val="22"/>
        </w:rPr>
        <w:t xml:space="preserve">future, introducing a pro-forma for </w:t>
      </w:r>
      <w:r w:rsidR="00A22F65">
        <w:rPr>
          <w:sz w:val="22"/>
          <w:szCs w:val="22"/>
        </w:rPr>
        <w:t xml:space="preserve">the </w:t>
      </w:r>
      <w:r w:rsidRPr="006D7009">
        <w:rPr>
          <w:sz w:val="22"/>
          <w:szCs w:val="22"/>
        </w:rPr>
        <w:t>management of patients with gallstone pancreatitis may be of benefit. The pro-forma would be based on the guideline and therefore improve adherence</w:t>
      </w:r>
      <w:r w:rsidR="00A22F65">
        <w:rPr>
          <w:sz w:val="22"/>
          <w:szCs w:val="22"/>
        </w:rPr>
        <w:t>. It is also important to r</w:t>
      </w:r>
      <w:r w:rsidRPr="006D7009">
        <w:rPr>
          <w:sz w:val="22"/>
          <w:szCs w:val="22"/>
        </w:rPr>
        <w:t>eaudit annually to assess improveme</w:t>
      </w:r>
      <w:r w:rsidR="00A22F65">
        <w:rPr>
          <w:sz w:val="22"/>
          <w:szCs w:val="22"/>
        </w:rPr>
        <w:t xml:space="preserve">nt and adherence to the guideline. </w:t>
      </w:r>
    </w:p>
    <w:sectPr w:rsidR="004B6D54" w:rsidRPr="00715A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F65"/>
    <w:rsid w:val="004B6ABA"/>
    <w:rsid w:val="004B6D54"/>
    <w:rsid w:val="00715AB9"/>
    <w:rsid w:val="007522D0"/>
    <w:rsid w:val="008151FE"/>
    <w:rsid w:val="00A22F65"/>
    <w:rsid w:val="00B912C4"/>
    <w:rsid w:val="00D62CB9"/>
    <w:rsid w:val="00FC35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8D8CB"/>
  <w15:chartTrackingRefBased/>
  <w15:docId w15:val="{71139FE4-83C4-44FD-909F-2A6A5A9DE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F65"/>
    <w:pPr>
      <w:spacing w:after="0" w:line="240" w:lineRule="auto"/>
    </w:pPr>
    <w:rPr>
      <w:kern w:val="0"/>
      <w:sz w:val="24"/>
      <w:szCs w:val="24"/>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00142">
      <w:bodyDiv w:val="1"/>
      <w:marLeft w:val="0"/>
      <w:marRight w:val="0"/>
      <w:marTop w:val="0"/>
      <w:marBottom w:val="0"/>
      <w:divBdr>
        <w:top w:val="none" w:sz="0" w:space="0" w:color="auto"/>
        <w:left w:val="none" w:sz="0" w:space="0" w:color="auto"/>
        <w:bottom w:val="none" w:sz="0" w:space="0" w:color="auto"/>
        <w:right w:val="none" w:sz="0" w:space="0" w:color="auto"/>
      </w:divBdr>
    </w:div>
    <w:div w:id="54048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480</Words>
  <Characters>2736</Characters>
  <Application>Microsoft Office Word</Application>
  <DocSecurity>0</DocSecurity>
  <Lines>22</Lines>
  <Paragraphs>6</Paragraphs>
  <ScaleCrop>false</ScaleCrop>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Sanna Waheed</dc:creator>
  <cp:keywords/>
  <dc:description/>
  <cp:lastModifiedBy>Sanna Waheed</cp:lastModifiedBy>
  <cp:revision>3</cp:revision>
  <dcterms:created xsi:type="dcterms:W3CDTF">2024-12-30T17:12:00Z</dcterms:created>
  <dcterms:modified xsi:type="dcterms:W3CDTF">2024-12-30T17:34:00Z</dcterms:modified>
</cp:coreProperties>
</file>