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9967A" w14:textId="77777777" w:rsidR="00D42024" w:rsidRDefault="00D42024" w:rsidP="00D42024">
      <w:pPr>
        <w:spacing w:line="240" w:lineRule="auto"/>
        <w:rPr>
          <w:rFonts w:eastAsiaTheme="majorEastAsia" w:cstheme="majorBidi"/>
          <w:b/>
          <w:sz w:val="32"/>
          <w:szCs w:val="32"/>
          <w:u w:val="single"/>
        </w:rPr>
      </w:pPr>
      <w:bookmarkStart w:id="0" w:name="_Hlk161493312"/>
      <w:r w:rsidRPr="008E59A9">
        <w:rPr>
          <w:rFonts w:eastAsiaTheme="majorEastAsia" w:cstheme="majorBidi"/>
          <w:b/>
          <w:sz w:val="32"/>
          <w:szCs w:val="32"/>
          <w:u w:val="single"/>
        </w:rPr>
        <w:t>Opioid Requirements for Total Hip and Knee Arthroplasties</w:t>
      </w:r>
      <w:r>
        <w:rPr>
          <w:rFonts w:eastAsiaTheme="majorEastAsia" w:cstheme="majorBidi"/>
          <w:b/>
          <w:sz w:val="32"/>
          <w:szCs w:val="32"/>
          <w:u w:val="single"/>
        </w:rPr>
        <w:t xml:space="preserve"> - </w:t>
      </w:r>
      <w:r w:rsidRPr="008E59A9">
        <w:rPr>
          <w:rFonts w:eastAsiaTheme="majorEastAsia" w:cstheme="majorBidi"/>
          <w:b/>
          <w:sz w:val="32"/>
          <w:szCs w:val="32"/>
          <w:u w:val="single"/>
        </w:rPr>
        <w:t xml:space="preserve">A 7-year </w:t>
      </w:r>
      <w:r>
        <w:rPr>
          <w:rFonts w:eastAsiaTheme="majorEastAsia" w:cstheme="majorBidi"/>
          <w:b/>
          <w:sz w:val="32"/>
          <w:szCs w:val="32"/>
          <w:u w:val="single"/>
        </w:rPr>
        <w:t>M</w:t>
      </w:r>
      <w:r w:rsidRPr="008E59A9">
        <w:rPr>
          <w:rFonts w:eastAsiaTheme="majorEastAsia" w:cstheme="majorBidi"/>
          <w:b/>
          <w:sz w:val="32"/>
          <w:szCs w:val="32"/>
          <w:u w:val="single"/>
        </w:rPr>
        <w:t xml:space="preserve">ajor </w:t>
      </w:r>
      <w:r>
        <w:rPr>
          <w:rFonts w:eastAsiaTheme="majorEastAsia" w:cstheme="majorBidi"/>
          <w:b/>
          <w:sz w:val="32"/>
          <w:szCs w:val="32"/>
          <w:u w:val="single"/>
        </w:rPr>
        <w:t>T</w:t>
      </w:r>
      <w:r w:rsidRPr="008E59A9">
        <w:rPr>
          <w:rFonts w:eastAsiaTheme="majorEastAsia" w:cstheme="majorBidi"/>
          <w:b/>
          <w:sz w:val="32"/>
          <w:szCs w:val="32"/>
          <w:u w:val="single"/>
        </w:rPr>
        <w:t xml:space="preserve">rauma </w:t>
      </w:r>
      <w:r>
        <w:rPr>
          <w:rFonts w:eastAsiaTheme="majorEastAsia" w:cstheme="majorBidi"/>
          <w:b/>
          <w:sz w:val="32"/>
          <w:szCs w:val="32"/>
          <w:u w:val="single"/>
        </w:rPr>
        <w:t>C</w:t>
      </w:r>
      <w:r w:rsidRPr="008E59A9">
        <w:rPr>
          <w:rFonts w:eastAsiaTheme="majorEastAsia" w:cstheme="majorBidi"/>
          <w:b/>
          <w:sz w:val="32"/>
          <w:szCs w:val="32"/>
          <w:u w:val="single"/>
        </w:rPr>
        <w:t xml:space="preserve">entre </w:t>
      </w:r>
      <w:r>
        <w:rPr>
          <w:rFonts w:eastAsiaTheme="majorEastAsia" w:cstheme="majorBidi"/>
          <w:b/>
          <w:sz w:val="32"/>
          <w:szCs w:val="32"/>
          <w:u w:val="single"/>
        </w:rPr>
        <w:t>S</w:t>
      </w:r>
      <w:r w:rsidRPr="008E59A9">
        <w:rPr>
          <w:rFonts w:eastAsiaTheme="majorEastAsia" w:cstheme="majorBidi"/>
          <w:b/>
          <w:sz w:val="32"/>
          <w:szCs w:val="32"/>
          <w:u w:val="single"/>
        </w:rPr>
        <w:t>tudy</w:t>
      </w:r>
    </w:p>
    <w:bookmarkEnd w:id="0"/>
    <w:p w14:paraId="598EA4A7" w14:textId="77777777" w:rsidR="00D42024" w:rsidRDefault="00D42024" w:rsidP="00D42024">
      <w:pPr>
        <w:spacing w:line="240" w:lineRule="auto"/>
        <w:rPr>
          <w:color w:val="000000" w:themeColor="text1"/>
        </w:rPr>
      </w:pPr>
    </w:p>
    <w:p w14:paraId="504F8ECE" w14:textId="77777777" w:rsidR="00D42024" w:rsidRPr="00E978E8" w:rsidRDefault="00D42024" w:rsidP="00D42024">
      <w:pPr>
        <w:spacing w:line="240" w:lineRule="auto"/>
        <w:rPr>
          <w:rFonts w:cs="Times New Roman"/>
          <w:color w:val="000000" w:themeColor="text1"/>
        </w:rPr>
      </w:pPr>
    </w:p>
    <w:p w14:paraId="17266382" w14:textId="77777777" w:rsidR="00D42024" w:rsidRPr="00E978E8" w:rsidRDefault="00D42024" w:rsidP="00D42024">
      <w:pPr>
        <w:rPr>
          <w:rFonts w:cs="Times New Roman"/>
          <w:b/>
          <w:bCs/>
          <w:sz w:val="28"/>
          <w:szCs w:val="24"/>
        </w:rPr>
      </w:pPr>
      <w:r w:rsidRPr="00E978E8">
        <w:rPr>
          <w:rFonts w:cs="Times New Roman"/>
          <w:b/>
          <w:bCs/>
          <w:sz w:val="28"/>
          <w:szCs w:val="24"/>
        </w:rPr>
        <w:t>Abstract</w:t>
      </w:r>
    </w:p>
    <w:p w14:paraId="36C43091" w14:textId="77777777" w:rsidR="00D42024" w:rsidRPr="00E978E8" w:rsidRDefault="00D42024" w:rsidP="00D42024">
      <w:pPr>
        <w:rPr>
          <w:rFonts w:cs="Times New Roman"/>
          <w:szCs w:val="24"/>
        </w:rPr>
      </w:pPr>
      <w:r w:rsidRPr="00E978E8">
        <w:rPr>
          <w:rFonts w:cs="Times New Roman"/>
          <w:b/>
          <w:bCs/>
          <w:color w:val="000000"/>
          <w:szCs w:val="24"/>
          <w:shd w:val="clear" w:color="auto" w:fill="FFFFFF"/>
        </w:rPr>
        <w:t>OBJECTIVES: </w:t>
      </w:r>
      <w:r w:rsidRPr="00E978E8">
        <w:rPr>
          <w:rFonts w:cs="Times New Roman"/>
          <w:szCs w:val="24"/>
        </w:rPr>
        <w:t xml:space="preserve">Total knee and hip arthroplasties can lead to prolonged and uncertain pain and rehabilitation timelines, causing significant distress for patients. In this study, we compare opioid requirements and </w:t>
      </w:r>
      <w:proofErr w:type="spellStart"/>
      <w:r w:rsidRPr="00E978E8">
        <w:rPr>
          <w:rFonts w:cs="Times New Roman"/>
          <w:szCs w:val="24"/>
        </w:rPr>
        <w:t>analyze</w:t>
      </w:r>
      <w:proofErr w:type="spellEnd"/>
      <w:r w:rsidRPr="00E978E8">
        <w:rPr>
          <w:rFonts w:cs="Times New Roman"/>
          <w:szCs w:val="24"/>
        </w:rPr>
        <w:t xml:space="preserve"> predictive factors between these two procedures.</w:t>
      </w:r>
    </w:p>
    <w:p w14:paraId="1F880950" w14:textId="77777777" w:rsidR="00D42024" w:rsidRPr="00E978E8" w:rsidRDefault="00D42024" w:rsidP="00D42024">
      <w:pPr>
        <w:rPr>
          <w:rFonts w:cs="Times New Roman"/>
          <w:szCs w:val="24"/>
        </w:rPr>
      </w:pPr>
      <w:r w:rsidRPr="00E978E8">
        <w:rPr>
          <w:rFonts w:cs="Times New Roman"/>
          <w:b/>
          <w:bCs/>
          <w:szCs w:val="24"/>
        </w:rPr>
        <w:t>METHODS:</w:t>
      </w:r>
      <w:r w:rsidRPr="00E978E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</w:t>
      </w:r>
      <w:r w:rsidRPr="00E978E8">
        <w:rPr>
          <w:rFonts w:cs="Times New Roman"/>
          <w:szCs w:val="24"/>
        </w:rPr>
        <w:t>We reviewed all patients who underwent primary total hip (THA) and knee (TKA) arthroplasties at a Major Trauma Centre between 2015 and 2021. Demographic and comorbidity data were collected. Opioid prescriptions were calculated monthly for the first post-operative year. Morphine Milligram Equivalents (MME) (“strength”) and days with at least one opioid prescription ("coverage") were determined.</w:t>
      </w:r>
    </w:p>
    <w:p w14:paraId="40DA0559" w14:textId="77777777" w:rsidR="00D42024" w:rsidRPr="00E978E8" w:rsidRDefault="00D42024" w:rsidP="00D42024">
      <w:pPr>
        <w:rPr>
          <w:rFonts w:cs="Times New Roman"/>
          <w:szCs w:val="24"/>
        </w:rPr>
      </w:pPr>
      <w:r w:rsidRPr="00E978E8">
        <w:rPr>
          <w:rFonts w:cs="Times New Roman"/>
          <w:b/>
          <w:bCs/>
          <w:color w:val="000000"/>
          <w:szCs w:val="24"/>
          <w:shd w:val="clear" w:color="auto" w:fill="FFFFFF"/>
        </w:rPr>
        <w:t xml:space="preserve">RESULTS: </w:t>
      </w:r>
      <w:r w:rsidRPr="00E978E8">
        <w:rPr>
          <w:rFonts w:cs="Times New Roman"/>
          <w:szCs w:val="24"/>
        </w:rPr>
        <w:t>The study included 2915 THAs and 2231 TKAs. THA patients were younger (68.4vs.70.2 years old, p&lt;0.001) and more commonly female (61%vs.58%, p=0.022) compared to TKA patients. TKAs required significantly higher opioid strength and coverage (1102 MME, 97.8 days) compared to THAs (838 MME, 72.6 days) in the first-year post-operation (p&lt;0.001).</w:t>
      </w:r>
    </w:p>
    <w:p w14:paraId="070C0585" w14:textId="77777777" w:rsidR="00D42024" w:rsidRPr="00E978E8" w:rsidRDefault="00D42024" w:rsidP="00D42024">
      <w:pPr>
        <w:rPr>
          <w:rFonts w:cs="Times New Roman"/>
          <w:szCs w:val="24"/>
        </w:rPr>
      </w:pPr>
      <w:r w:rsidRPr="00E978E8">
        <w:rPr>
          <w:rFonts w:cs="Times New Roman"/>
          <w:szCs w:val="24"/>
        </w:rPr>
        <w:t>Comorbidity analysis revealed that THAs had stronger association</w:t>
      </w:r>
      <w:r>
        <w:rPr>
          <w:rFonts w:cs="Times New Roman"/>
          <w:szCs w:val="24"/>
        </w:rPr>
        <w:t>s</w:t>
      </w:r>
      <w:r w:rsidRPr="00E978E8">
        <w:rPr>
          <w:rFonts w:cs="Times New Roman"/>
          <w:szCs w:val="24"/>
        </w:rPr>
        <w:t xml:space="preserve"> between opioid strength and specific comorbidities, including connective tissue disorders (</w:t>
      </w:r>
      <w:proofErr w:type="gramStart"/>
      <w:r w:rsidRPr="00E978E8">
        <w:rPr>
          <w:rFonts w:cs="Times New Roman"/>
          <w:szCs w:val="24"/>
        </w:rPr>
        <w:t>x2.14,p</w:t>
      </w:r>
      <w:proofErr w:type="gramEnd"/>
      <w:r w:rsidRPr="00E978E8">
        <w:rPr>
          <w:rFonts w:cs="Times New Roman"/>
          <w:szCs w:val="24"/>
        </w:rPr>
        <w:t>=0.043), diabetes (x1.72,p=0.004), hypertension (x1.3,p=0.012), and rheumatology conditions (x2.28,p=0.002). TKA strength was positively associated with hypertension (</w:t>
      </w:r>
      <w:proofErr w:type="gramStart"/>
      <w:r w:rsidRPr="00E978E8">
        <w:rPr>
          <w:rFonts w:cs="Times New Roman"/>
          <w:szCs w:val="24"/>
        </w:rPr>
        <w:t>x1.23,p</w:t>
      </w:r>
      <w:proofErr w:type="gramEnd"/>
      <w:r w:rsidRPr="00E978E8">
        <w:rPr>
          <w:rFonts w:cs="Times New Roman"/>
          <w:szCs w:val="24"/>
        </w:rPr>
        <w:t>=0.039) and rheumatology conditions (x1.3,p=0.042). For coverage, both procedures showed significant associations, with rheumatology conditions having the greatest impact for both THAs (</w:t>
      </w:r>
      <w:proofErr w:type="gramStart"/>
      <w:r w:rsidRPr="00E978E8">
        <w:rPr>
          <w:rFonts w:cs="Times New Roman"/>
          <w:szCs w:val="24"/>
        </w:rPr>
        <w:t>x1.56,p</w:t>
      </w:r>
      <w:proofErr w:type="gramEnd"/>
      <w:r w:rsidRPr="00E978E8">
        <w:rPr>
          <w:rFonts w:cs="Times New Roman"/>
          <w:szCs w:val="24"/>
        </w:rPr>
        <w:t>&lt;0.001) and TKAs (x1.36,p&lt;0.001).</w:t>
      </w:r>
    </w:p>
    <w:p w14:paraId="733C7F27" w14:textId="77777777" w:rsidR="00D42024" w:rsidRPr="00E978E8" w:rsidRDefault="00D42024" w:rsidP="00D42024">
      <w:pPr>
        <w:rPr>
          <w:rFonts w:cs="Times New Roman"/>
          <w:szCs w:val="24"/>
        </w:rPr>
      </w:pPr>
      <w:r w:rsidRPr="00E978E8">
        <w:rPr>
          <w:rFonts w:cs="Times New Roman"/>
          <w:b/>
          <w:bCs/>
          <w:szCs w:val="24"/>
        </w:rPr>
        <w:lastRenderedPageBreak/>
        <w:t>CONCLUSION:</w:t>
      </w:r>
      <w:r w:rsidRPr="00E978E8">
        <w:rPr>
          <w:rFonts w:cs="Times New Roman"/>
          <w:szCs w:val="24"/>
        </w:rPr>
        <w:t xml:space="preserve"> Our study provides a detailed quantitative analysis of the pain and rehabilitation experiences of THA and TKA </w:t>
      </w:r>
      <w:proofErr w:type="gramStart"/>
      <w:r w:rsidRPr="00E978E8">
        <w:rPr>
          <w:rFonts w:cs="Times New Roman"/>
          <w:szCs w:val="24"/>
        </w:rPr>
        <w:t>patients, and</w:t>
      </w:r>
      <w:proofErr w:type="gramEnd"/>
      <w:r w:rsidRPr="00E978E8">
        <w:rPr>
          <w:rFonts w:cs="Times New Roman"/>
          <w:szCs w:val="24"/>
        </w:rPr>
        <w:t xml:space="preserve"> offers valuable insights for patients and clinicians regarding factors influencing higher pain relief requirements. This information can serve as a foundation for rehabilitation planning and future research.</w:t>
      </w:r>
    </w:p>
    <w:p w14:paraId="72E6F214" w14:textId="77777777" w:rsidR="00D42024" w:rsidRDefault="00D42024" w:rsidP="00D42024">
      <w:pPr>
        <w:rPr>
          <w:rFonts w:cs="Times New Roman"/>
          <w:color w:val="000000"/>
          <w:szCs w:val="24"/>
          <w:shd w:val="clear" w:color="auto" w:fill="FFFFFF"/>
        </w:rPr>
      </w:pPr>
      <w:r w:rsidRPr="00E978E8">
        <w:rPr>
          <w:rFonts w:cs="Times New Roman"/>
          <w:b/>
          <w:bCs/>
          <w:color w:val="000000"/>
          <w:szCs w:val="24"/>
          <w:shd w:val="clear" w:color="auto" w:fill="FFFFFF"/>
        </w:rPr>
        <w:t>Keywords</w:t>
      </w:r>
      <w:r>
        <w:rPr>
          <w:rFonts w:cs="Times New Roman"/>
          <w:color w:val="000000"/>
          <w:szCs w:val="24"/>
          <w:shd w:val="clear" w:color="auto" w:fill="FFFFFF"/>
        </w:rPr>
        <w:t xml:space="preserve">: </w:t>
      </w:r>
      <w:r w:rsidRPr="008C09A9">
        <w:rPr>
          <w:rFonts w:cs="Times New Roman"/>
          <w:color w:val="000000"/>
          <w:szCs w:val="24"/>
          <w:shd w:val="clear" w:color="auto" w:fill="FFFFFF"/>
        </w:rPr>
        <w:t>opioids, arthroplasty, post-operative analgesia</w:t>
      </w:r>
    </w:p>
    <w:p w14:paraId="4D070AE3" w14:textId="77777777" w:rsidR="00115C38" w:rsidRDefault="00115C38"/>
    <w:sectPr w:rsidR="00115C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24"/>
    <w:rsid w:val="00025421"/>
    <w:rsid w:val="000528E1"/>
    <w:rsid w:val="00115C38"/>
    <w:rsid w:val="00127547"/>
    <w:rsid w:val="00185004"/>
    <w:rsid w:val="00256D0E"/>
    <w:rsid w:val="002E798D"/>
    <w:rsid w:val="00592E9A"/>
    <w:rsid w:val="005E3ACB"/>
    <w:rsid w:val="00717A99"/>
    <w:rsid w:val="007700FE"/>
    <w:rsid w:val="008B1CEE"/>
    <w:rsid w:val="00A11FC0"/>
    <w:rsid w:val="00A45DB8"/>
    <w:rsid w:val="00A8347D"/>
    <w:rsid w:val="00AF57BA"/>
    <w:rsid w:val="00AF6084"/>
    <w:rsid w:val="00C37A50"/>
    <w:rsid w:val="00CE5D0D"/>
    <w:rsid w:val="00CE6653"/>
    <w:rsid w:val="00CF0C91"/>
    <w:rsid w:val="00D00D47"/>
    <w:rsid w:val="00D42024"/>
    <w:rsid w:val="00D555C7"/>
    <w:rsid w:val="00EF5219"/>
    <w:rsid w:val="00F512D4"/>
    <w:rsid w:val="00F64DA8"/>
    <w:rsid w:val="00F81A10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948C9"/>
  <w15:chartTrackingRefBased/>
  <w15:docId w15:val="{63E4029B-0955-447E-8D8D-0771FB6E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024"/>
    <w:pPr>
      <w:spacing w:line="480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20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0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0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0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0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02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02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02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02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0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0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2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02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2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024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2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024"/>
    <w:pPr>
      <w:spacing w:line="259" w:lineRule="auto"/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20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0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0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Firereckless .</dc:creator>
  <cp:keywords/>
  <dc:description/>
  <cp:lastModifiedBy>Firereckless .</cp:lastModifiedBy>
  <cp:revision>1</cp:revision>
  <dcterms:created xsi:type="dcterms:W3CDTF">2024-07-15T21:33:00Z</dcterms:created>
  <dcterms:modified xsi:type="dcterms:W3CDTF">2024-07-15T22:08:00Z</dcterms:modified>
</cp:coreProperties>
</file>