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1"/>
        <w:spacing w:before="170"/>
        <w:ind w:left="0" w:firstLine="0"/>
      </w:pPr>
      <w:r>
        <w:rPr>
          <w:rStyle w:val="None"/>
          <w:outline w:val="0"/>
          <w:color w:val="337ab7"/>
          <w:u w:color="337ab7"/>
          <w:rtl w:val="0"/>
          <w:lang w:val="en-US"/>
          <w14:textFill>
            <w14:solidFill>
              <w14:srgbClr w14:val="337AB7"/>
            </w14:solidFill>
          </w14:textFill>
        </w:rPr>
        <w:t xml:space="preserve">The Rise of </w:t>
      </w:r>
      <w:r>
        <w:rPr>
          <w:rStyle w:val="None"/>
          <w:outline w:val="0"/>
          <w:color w:val="337ab7"/>
          <w:u w:color="337ab7"/>
          <w:rtl w:val="0"/>
          <w:lang w:val="en-US"/>
          <w14:textFill>
            <w14:solidFill>
              <w14:srgbClr w14:val="337AB7"/>
            </w14:solidFill>
          </w14:textFill>
        </w:rPr>
        <w:t>“</w:t>
      </w:r>
      <w:r>
        <w:rPr>
          <w:rStyle w:val="None"/>
          <w:outline w:val="0"/>
          <w:color w:val="337ab7"/>
          <w:u w:color="337ab7"/>
          <w:rtl w:val="0"/>
          <w:lang w:val="en-US"/>
          <w14:textFill>
            <w14:solidFill>
              <w14:srgbClr w14:val="337AB7"/>
            </w14:solidFill>
          </w14:textFill>
        </w:rPr>
        <w:t>Ozempic Face</w:t>
      </w:r>
      <w:r>
        <w:rPr>
          <w:rStyle w:val="None"/>
          <w:outline w:val="0"/>
          <w:color w:val="337ab7"/>
          <w:u w:color="337ab7"/>
          <w:rtl w:val="0"/>
          <w:lang w:val="en-US"/>
          <w14:textFill>
            <w14:solidFill>
              <w14:srgbClr w14:val="337AB7"/>
            </w14:solidFill>
          </w14:textFill>
        </w:rPr>
        <w:t>”</w:t>
      </w:r>
      <w:r>
        <w:rPr>
          <w:rStyle w:val="None"/>
          <w:outline w:val="0"/>
          <w:color w:val="337ab7"/>
          <w:u w:color="337ab7"/>
          <w:rtl w:val="0"/>
          <w:lang w:val="en-US"/>
          <w14:textFill>
            <w14:solidFill>
              <w14:srgbClr w14:val="337AB7"/>
            </w14:solidFill>
          </w14:textFill>
        </w:rPr>
        <w:t>: Analyzing Trends and Treatment Challenges Associated with Rapid Facial Weight Loss Induced by GLP-1 Agonists</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Emmanuel Nageeb, Corewell Health; Meghan Mansour Henry Ford Hospital; Kongkrit Chaiyasate Corewell Health</w:t>
      </w:r>
    </w:p>
    <w:p>
      <w:pPr>
        <w:pStyle w:val="Normal.0"/>
        <w:rPr>
          <w:rStyle w:val="None"/>
          <w:rFonts w:ascii="Arial" w:cs="Arial" w:hAnsi="Arial" w:eastAsia="Arial"/>
        </w:rPr>
        <w:sectPr>
          <w:headerReference w:type="default" r:id="rId4"/>
          <w:footerReference w:type="default" r:id="rId5"/>
          <w:pgSz w:w="11920" w:h="16840" w:orient="portrait"/>
          <w:pgMar w:top="1740" w:right="600" w:bottom="840" w:left="620" w:header="541" w:footer="642"/>
          <w:bidi w:val="0"/>
        </w:sectPr>
      </w:pPr>
      <w:r>
        <w:rPr>
          <w:rStyle w:val="None"/>
          <w:rFonts w:ascii="Arial" w:cs="Arial" w:hAnsi="Arial" w:eastAsia="Arial"/>
        </w:rPr>
      </w:r>
    </w:p>
    <w:p>
      <w:pPr>
        <w:pStyle w:val="Heading 3"/>
        <w:spacing w:before="147"/>
        <w:jc w:val="both"/>
      </w:pPr>
      <w:r>
        <w:rPr>
          <w:rStyle w:val="None"/>
          <w:outline w:val="0"/>
          <w:color w:val="bf5a14"/>
          <w:u w:color="bf5a14"/>
          <w:rtl w:val="0"/>
          <w:lang w:val="en-US"/>
          <w14:textFill>
            <w14:solidFill>
              <w14:srgbClr w14:val="BF5A14"/>
            </w14:solidFill>
          </w14:textFill>
        </w:rPr>
        <w:t>Abstract (300 word limit)</w:t>
      </w:r>
    </w:p>
    <w:p>
      <w:pPr>
        <w:pStyle w:val="Body Text"/>
        <w:spacing w:before="90" w:line="280" w:lineRule="auto"/>
        <w:ind w:left="100" w:firstLine="0"/>
        <w:jc w:val="both"/>
        <w:rPr>
          <w:rStyle w:val="None"/>
          <w:outline w:val="0"/>
          <w:color w:val="bf5a14"/>
          <w:sz w:val="14"/>
          <w:szCs w:val="14"/>
          <w:u w:color="bf5a14"/>
          <w14:textFill>
            <w14:solidFill>
              <w14:srgbClr w14:val="BF5A14"/>
            </w14:solidFill>
          </w14:textFill>
        </w:rPr>
      </w:pPr>
      <w:r>
        <w:rPr>
          <w:sz w:val="14"/>
          <w:szCs w:val="14"/>
          <w:rtl w:val="0"/>
          <w:lang w:val="en-US"/>
        </w:rPr>
        <w:t xml:space="preserve">Background: From early 2020 to the end of 2022, prescriptions for GLP-1 receptor </w:t>
      </w:r>
      <w:r>
        <w:rPr>
          <w:rStyle w:val="None"/>
          <w:sz w:val="16"/>
          <w:szCs w:val="16"/>
          <w:rtl w:val="0"/>
          <w:lang w:val="en-US"/>
        </w:rPr>
        <w:t xml:space="preserve">agonists like Ozempic (Semaglutide) and Wegovy surged by 300%, reaching over 9 million prescriptions in the last quarter of 2022. While these medications are intended for type II diabetes management, they also cause notable weight loss, leading to a phenomenon known as </w:t>
      </w:r>
      <w:r>
        <w:rPr>
          <w:rStyle w:val="None"/>
          <w:sz w:val="16"/>
          <w:szCs w:val="16"/>
          <w:rtl w:val="0"/>
          <w:lang w:val="en-US"/>
        </w:rPr>
        <w:t>“</w:t>
      </w:r>
      <w:r>
        <w:rPr>
          <w:rStyle w:val="None"/>
          <w:sz w:val="16"/>
          <w:szCs w:val="16"/>
          <w:rtl w:val="0"/>
          <w:lang w:val="en-US"/>
        </w:rPr>
        <w:t>Ozempic Face.</w:t>
      </w:r>
      <w:r>
        <w:rPr>
          <w:rStyle w:val="None"/>
          <w:sz w:val="16"/>
          <w:szCs w:val="16"/>
          <w:rtl w:val="0"/>
          <w:lang w:val="en-US"/>
        </w:rPr>
        <w:t xml:space="preserve">” </w:t>
      </w:r>
      <w:r>
        <w:rPr>
          <w:rStyle w:val="None"/>
          <w:sz w:val="16"/>
          <w:szCs w:val="16"/>
          <w:rtl w:val="0"/>
          <w:lang w:val="en-US"/>
        </w:rPr>
        <w:t>This side effect is marked by facial fat loss, resulting in wrinkles, sunken eyes, a hollowed appearance, sagging jowls, and changes to the cheeks, lips, and chin. Objective: This study investigates trends in public concern about "Ozempic Face" using Google Trends data and examines the challenges plastic surgeons face when treating patients with this condition. Methods: We utilized Google Trends to assess the popularity of the term "Ozempic Face" from June 2019 to June 2024, comparing it to other known Ozempic side effects such as nausea, vomiting, diarrhea, and the general term "Ozempic Side Effects." The analysis focused on the rate of change in search volume and the geographic distribution of interest. Results: Our findings show that searches for "Ozempic Face" have increased significantly over time (rate of change = +0.0119), surpassing the growth rate of searches for other side effects (rate of change = +0.0013 for nausea, vomiting, and diarrhea) and nearing the volume of searches for "Ozempic Side Effects" (rate of change = +0.0264). The highest search interest for "Ozempic Face" was found in the District of Columbia, Idaho, Maine, West Virginia, and Oregon. Conclusion: Increased awareness of "Ozempic Face" among healthcare providers is essential, particularly in regions with high search interest. With the growing use of weight loss medications, more patients will likely seek cosmetic treatments for related facial changes. Further research into effective treatment options for facial volume loss in these patients is vital.</w:t>
      </w:r>
    </w:p>
    <w:p>
      <w:pPr>
        <w:pStyle w:val="Normal.0"/>
        <w:spacing w:line="204" w:lineRule="exact"/>
        <w:rPr>
          <w:rStyle w:val="None"/>
          <w:rFonts w:ascii="Arial" w:cs="Arial" w:hAnsi="Arial" w:eastAsia="Arial"/>
          <w:b w:val="1"/>
          <w:bCs w:val="1"/>
          <w:outline w:val="0"/>
          <w:color w:val="bf5a14"/>
          <w:sz w:val="20"/>
          <w:szCs w:val="20"/>
          <w:u w:color="bf5a14"/>
          <w14:textFill>
            <w14:solidFill>
              <w14:srgbClr w14:val="BF5A14"/>
            </w14:solidFill>
          </w14:textFill>
        </w:rPr>
      </w:pPr>
      <w:r>
        <w:rPr>
          <w:rStyle w:val="None"/>
          <w:rFonts w:ascii="Arial" w:cs="Arial" w:hAnsi="Arial" w:eastAsia="Arial"/>
          <w:b w:val="1"/>
          <w:bCs w:val="1"/>
          <w:outline w:val="0"/>
          <w:color w:val="bf5a14"/>
          <w:sz w:val="20"/>
          <w:szCs w:val="20"/>
          <w:u w:color="bf5a14"/>
          <w14:textFill>
            <w14:solidFill>
              <w14:srgbClr w14:val="BF5A14"/>
            </w14:solidFill>
          </w14:textFill>
        </w:rPr>
        <w:br w:type="textWrapping"/>
      </w:r>
    </w:p>
    <w:p>
      <w:pPr>
        <w:pStyle w:val="Normal.0"/>
        <w:spacing w:line="204" w:lineRule="exact"/>
        <w:rPr>
          <w:rStyle w:val="None"/>
          <w:rFonts w:ascii="Arial" w:cs="Arial" w:hAnsi="Arial" w:eastAsia="Arial"/>
          <w:b w:val="1"/>
          <w:bCs w:val="1"/>
          <w:outline w:val="0"/>
          <w:color w:val="bf5a14"/>
          <w:sz w:val="20"/>
          <w:szCs w:val="20"/>
          <w:u w:color="bf5a14"/>
          <w14:textFill>
            <w14:solidFill>
              <w14:srgbClr w14:val="BF5A14"/>
            </w14:solidFill>
          </w14:textFill>
        </w:rPr>
      </w:pPr>
    </w:p>
    <w:p>
      <w:pPr>
        <w:pStyle w:val="Normal.0"/>
        <w:spacing w:line="204" w:lineRule="exact"/>
        <w:rPr>
          <w:rStyle w:val="None"/>
          <w:rFonts w:ascii="Arial" w:cs="Arial" w:hAnsi="Arial" w:eastAsia="Arial"/>
          <w:b w:val="1"/>
          <w:bCs w:val="1"/>
          <w:sz w:val="20"/>
          <w:szCs w:val="20"/>
        </w:rPr>
      </w:pPr>
      <w:r>
        <w:rPr>
          <w:rStyle w:val="None"/>
          <w:rFonts w:ascii="Arial" w:hAnsi="Arial"/>
          <w:b w:val="1"/>
          <w:bCs w:val="1"/>
          <w:outline w:val="0"/>
          <w:color w:val="bf5a14"/>
          <w:sz w:val="20"/>
          <w:szCs w:val="20"/>
          <w:u w:color="bf5a14"/>
          <w:rtl w:val="0"/>
          <w:lang w:val="en-US"/>
          <w14:textFill>
            <w14:solidFill>
              <w14:srgbClr w14:val="BF5A14"/>
            </w14:solidFill>
          </w14:textFill>
        </w:rPr>
        <w:t>Recent Publications (minimum 5)</w:t>
      </w:r>
    </w:p>
    <w:p>
      <w:pPr>
        <w:pStyle w:val="Normal.0"/>
        <w:tabs>
          <w:tab w:val="left" w:pos="384"/>
        </w:tabs>
        <w:ind w:right="117"/>
        <w:rPr>
          <w:rFonts w:ascii="Calibri" w:cs="Calibri" w:hAnsi="Calibri" w:eastAsia="Calibri"/>
          <w:sz w:val="18"/>
          <w:szCs w:val="18"/>
          <w:lang w:val="en-US"/>
        </w:rPr>
      </w:pPr>
      <w:r>
        <w:rPr>
          <w:rFonts w:ascii="Calibri" w:hAnsi="Calibri"/>
          <w:sz w:val="18"/>
          <w:szCs w:val="18"/>
          <w:rtl w:val="0"/>
          <w:lang w:val="en-US"/>
        </w:rPr>
        <w:t xml:space="preserve">George J, Navale SM, </w:t>
      </w:r>
      <w:r>
        <w:rPr>
          <w:rStyle w:val="None"/>
          <w:rFonts w:ascii="Calibri" w:hAnsi="Calibri"/>
          <w:b w:val="1"/>
          <w:bCs w:val="1"/>
          <w:sz w:val="18"/>
          <w:szCs w:val="18"/>
          <w:rtl w:val="0"/>
          <w:lang w:val="en-US"/>
        </w:rPr>
        <w:t>Nageeb EM</w:t>
      </w:r>
      <w:r>
        <w:rPr>
          <w:rFonts w:ascii="Calibri" w:hAnsi="Calibri"/>
          <w:sz w:val="18"/>
          <w:szCs w:val="18"/>
          <w:rtl w:val="0"/>
          <w:lang w:val="en-US"/>
        </w:rPr>
        <w:t>, et al. Etiology of Above-knee Amputations in the United States: Is Periprosthetic Joint Infection an Emerging Cause?.</w:t>
      </w:r>
      <w:r>
        <w:rPr>
          <w:rFonts w:ascii="Calibri" w:hAnsi="Calibri" w:hint="default"/>
          <w:sz w:val="18"/>
          <w:szCs w:val="18"/>
          <w:rtl w:val="0"/>
          <w:lang w:val="en-US"/>
        </w:rPr>
        <w:t> </w:t>
      </w:r>
      <w:r>
        <w:rPr>
          <w:rFonts w:ascii="Calibri" w:hAnsi="Calibri"/>
          <w:sz w:val="18"/>
          <w:szCs w:val="18"/>
          <w:rtl w:val="0"/>
          <w:lang w:val="en-US"/>
        </w:rPr>
        <w:t>ClinOrthop Relat Res. 2018;476(10):1951-1960.</w:t>
      </w:r>
    </w:p>
    <w:p>
      <w:pPr>
        <w:pStyle w:val="Normal.0"/>
        <w:tabs>
          <w:tab w:val="left" w:pos="384"/>
        </w:tabs>
        <w:ind w:right="117"/>
        <w:rPr>
          <w:rStyle w:val="None"/>
          <w:rFonts w:ascii="Calibri" w:cs="Calibri" w:hAnsi="Calibri" w:eastAsia="Calibri"/>
          <w:sz w:val="18"/>
          <w:szCs w:val="18"/>
          <w:lang w:val="en-US"/>
        </w:rPr>
      </w:pPr>
    </w:p>
    <w:p>
      <w:pPr>
        <w:pStyle w:val="Normal.0"/>
        <w:tabs>
          <w:tab w:val="left" w:pos="384"/>
        </w:tabs>
        <w:ind w:right="117"/>
        <w:rPr>
          <w:rStyle w:val="None"/>
          <w:rFonts w:ascii="Calibri" w:cs="Calibri" w:hAnsi="Calibri" w:eastAsia="Calibri"/>
          <w:sz w:val="18"/>
          <w:szCs w:val="18"/>
          <w:lang w:val="en-US"/>
        </w:rPr>
      </w:pPr>
      <w:r>
        <w:rPr>
          <w:rFonts w:ascii="Calibri" w:hAnsi="Calibri"/>
          <w:sz w:val="18"/>
          <w:szCs w:val="18"/>
          <w:rtl w:val="0"/>
          <w:lang w:val="en-US"/>
        </w:rPr>
        <w:t xml:space="preserve">Sandhu S, Zadzilka JD, </w:t>
      </w:r>
      <w:r>
        <w:rPr>
          <w:rStyle w:val="None"/>
          <w:rFonts w:ascii="Calibri" w:hAnsi="Calibri"/>
          <w:b w:val="1"/>
          <w:bCs w:val="1"/>
          <w:sz w:val="18"/>
          <w:szCs w:val="18"/>
          <w:rtl w:val="0"/>
          <w:lang w:val="en-US"/>
        </w:rPr>
        <w:t>Nageeb E</w:t>
      </w:r>
      <w:r>
        <w:rPr>
          <w:rFonts w:ascii="Calibri" w:hAnsi="Calibri"/>
          <w:sz w:val="18"/>
          <w:szCs w:val="18"/>
          <w:rtl w:val="0"/>
          <w:lang w:val="en-US"/>
        </w:rPr>
        <w:t>, et al. A Comparison of Pain Management Protocols Following Total Knee</w:t>
      </w:r>
      <w:r>
        <w:rPr>
          <w:rFonts w:ascii="Calibri" w:hAnsi="Calibri"/>
          <w:sz w:val="18"/>
          <w:szCs w:val="18"/>
          <w:rtl w:val="0"/>
          <w:lang w:val="en-US"/>
        </w:rPr>
        <w:t xml:space="preserve"> </w:t>
      </w:r>
      <w:r>
        <w:rPr>
          <w:rFonts w:ascii="Calibri" w:hAnsi="Calibri"/>
          <w:sz w:val="18"/>
          <w:szCs w:val="18"/>
          <w:rtl w:val="0"/>
          <w:lang w:val="en-US"/>
        </w:rPr>
        <w:t>Arthroplasty: Femoral Nerve Block versus Periarticular Injection of Liposomal Bupivacaine with an Adductor Canal Block.</w:t>
      </w:r>
      <w:r>
        <w:rPr>
          <w:rFonts w:ascii="Calibri" w:hAnsi="Calibri" w:hint="default"/>
          <w:sz w:val="18"/>
          <w:szCs w:val="18"/>
          <w:rtl w:val="0"/>
          <w:lang w:val="en-US"/>
        </w:rPr>
        <w:t> </w:t>
      </w:r>
      <w:r>
        <w:rPr>
          <w:rFonts w:ascii="Calibri" w:hAnsi="Calibri"/>
          <w:sz w:val="18"/>
          <w:szCs w:val="18"/>
          <w:rtl w:val="0"/>
          <w:lang w:val="en-US"/>
        </w:rPr>
        <w:t>Surg Technol Int. 2019;34:403-408.</w:t>
      </w:r>
    </w:p>
    <w:p>
      <w:pPr>
        <w:pStyle w:val="Normal.0"/>
        <w:tabs>
          <w:tab w:val="left" w:pos="384"/>
        </w:tabs>
        <w:ind w:right="117"/>
        <w:rPr>
          <w:rFonts w:ascii="Calibri" w:cs="Calibri" w:hAnsi="Calibri" w:eastAsia="Calibri"/>
          <w:sz w:val="18"/>
          <w:szCs w:val="18"/>
          <w:lang w:val="en-US"/>
        </w:rPr>
      </w:pPr>
    </w:p>
    <w:p>
      <w:pPr>
        <w:pStyle w:val="Normal.0"/>
        <w:tabs>
          <w:tab w:val="left" w:pos="384"/>
        </w:tabs>
        <w:ind w:right="117"/>
        <w:rPr>
          <w:rStyle w:val="None"/>
          <w:rFonts w:ascii="Calibri" w:cs="Calibri" w:hAnsi="Calibri" w:eastAsia="Calibri"/>
          <w:sz w:val="18"/>
          <w:szCs w:val="18"/>
          <w:lang w:val="en-US"/>
        </w:rPr>
      </w:pPr>
      <w:r>
        <w:rPr>
          <w:rFonts w:ascii="Calibri" w:hAnsi="Calibri"/>
          <w:sz w:val="18"/>
          <w:szCs w:val="18"/>
          <w:rtl w:val="0"/>
          <w:lang w:val="en-US"/>
        </w:rPr>
        <w:t xml:space="preserve">Emara AK, </w:t>
      </w:r>
      <w:r>
        <w:rPr>
          <w:rStyle w:val="None"/>
          <w:rFonts w:ascii="Calibri" w:hAnsi="Calibri"/>
          <w:b w:val="1"/>
          <w:bCs w:val="1"/>
          <w:sz w:val="18"/>
          <w:szCs w:val="18"/>
          <w:rtl w:val="0"/>
          <w:lang w:val="en-US"/>
        </w:rPr>
        <w:t>Nageeb E</w:t>
      </w:r>
      <w:r>
        <w:rPr>
          <w:rFonts w:ascii="Calibri" w:hAnsi="Calibri"/>
          <w:sz w:val="18"/>
          <w:szCs w:val="18"/>
          <w:rtl w:val="0"/>
          <w:lang w:val="en-US"/>
        </w:rPr>
        <w:t>, George J, Buttaro MA, Higuera C, Piuzzi NS. Hypovitaminosis D in lower extremity Joint Arthroplasty: A systematic review and meta-analysis.</w:t>
      </w:r>
      <w:r>
        <w:rPr>
          <w:rFonts w:ascii="Calibri" w:hAnsi="Calibri" w:hint="default"/>
          <w:sz w:val="18"/>
          <w:szCs w:val="18"/>
          <w:rtl w:val="0"/>
          <w:lang w:val="en-US"/>
        </w:rPr>
        <w:t> </w:t>
      </w:r>
      <w:r>
        <w:rPr>
          <w:rFonts w:ascii="Calibri" w:hAnsi="Calibri"/>
          <w:sz w:val="18"/>
          <w:szCs w:val="18"/>
          <w:rtl w:val="0"/>
          <w:lang w:val="en-US"/>
        </w:rPr>
        <w:t>J</w:t>
      </w:r>
      <w:r>
        <w:rPr>
          <w:rFonts w:ascii="Calibri" w:hAnsi="Calibri"/>
          <w:sz w:val="18"/>
          <w:szCs w:val="18"/>
          <w:rtl w:val="0"/>
          <w:lang w:val="en-US"/>
        </w:rPr>
        <w:t xml:space="preserve"> </w:t>
      </w:r>
      <w:r>
        <w:rPr>
          <w:rFonts w:ascii="Calibri" w:hAnsi="Calibri"/>
          <w:sz w:val="18"/>
          <w:szCs w:val="18"/>
          <w:rtl w:val="0"/>
          <w:lang w:val="en-US"/>
        </w:rPr>
        <w:t>Orthop. 2020;21:109-116. Published 2020 Mar 25.</w:t>
      </w:r>
    </w:p>
    <w:p>
      <w:pPr>
        <w:pStyle w:val="Normal.0"/>
        <w:tabs>
          <w:tab w:val="left" w:pos="384"/>
        </w:tabs>
        <w:ind w:right="117"/>
        <w:rPr>
          <w:rFonts w:ascii="Calibri" w:cs="Calibri" w:hAnsi="Calibri" w:eastAsia="Calibri"/>
          <w:sz w:val="18"/>
          <w:szCs w:val="18"/>
          <w:lang w:val="en-US"/>
        </w:rPr>
      </w:pPr>
    </w:p>
    <w:p>
      <w:pPr>
        <w:pStyle w:val="Normal.0"/>
        <w:tabs>
          <w:tab w:val="left" w:pos="384"/>
        </w:tabs>
        <w:ind w:right="117"/>
        <w:rPr>
          <w:rStyle w:val="None"/>
          <w:rFonts w:ascii="Calibri" w:cs="Calibri" w:hAnsi="Calibri" w:eastAsia="Calibri"/>
          <w:sz w:val="18"/>
          <w:szCs w:val="18"/>
          <w:lang w:val="en-US"/>
        </w:rPr>
      </w:pPr>
      <w:r>
        <w:rPr>
          <w:rFonts w:ascii="Calibri" w:hAnsi="Calibri"/>
          <w:sz w:val="18"/>
          <w:szCs w:val="18"/>
          <w:rtl w:val="0"/>
          <w:lang w:val="en-US"/>
        </w:rPr>
        <w:t xml:space="preserve">Gupta R, </w:t>
      </w:r>
      <w:r>
        <w:rPr>
          <w:rStyle w:val="None"/>
          <w:rFonts w:ascii="Calibri" w:hAnsi="Calibri"/>
          <w:b w:val="1"/>
          <w:bCs w:val="1"/>
          <w:sz w:val="18"/>
          <w:szCs w:val="18"/>
          <w:rtl w:val="0"/>
          <w:lang w:val="en-US"/>
        </w:rPr>
        <w:t>Nageeb EM</w:t>
      </w:r>
      <w:r>
        <w:rPr>
          <w:rFonts w:ascii="Calibri" w:hAnsi="Calibri"/>
          <w:sz w:val="18"/>
          <w:szCs w:val="18"/>
          <w:rtl w:val="0"/>
          <w:lang w:val="en-US"/>
        </w:rPr>
        <w:t>, Minhas I, et al. Emergent Cesarean Section in a Bandl's Ring Patient: An Obstetrics and Gynecology Simulation Scenario. Cureus</w:t>
      </w:r>
      <w:r>
        <w:rPr>
          <w:rFonts w:ascii="Calibri" w:hAnsi="Calibri"/>
          <w:sz w:val="18"/>
          <w:szCs w:val="18"/>
          <w:rtl w:val="0"/>
          <w:lang w:val="en-US"/>
        </w:rPr>
        <w:t xml:space="preserve">. </w:t>
      </w:r>
      <w:r>
        <w:rPr>
          <w:rFonts w:ascii="Calibri" w:hAnsi="Calibri"/>
          <w:sz w:val="18"/>
          <w:szCs w:val="18"/>
          <w:rtl w:val="0"/>
          <w:lang w:val="en-US"/>
        </w:rPr>
        <w:t>2018;10(12):e3800. Published 2018 Dec 31.</w:t>
      </w:r>
    </w:p>
    <w:p>
      <w:pPr>
        <w:pStyle w:val="Normal.0"/>
        <w:tabs>
          <w:tab w:val="left" w:pos="384"/>
        </w:tabs>
        <w:ind w:right="117"/>
        <w:rPr>
          <w:rFonts w:ascii="Calibri" w:cs="Calibri" w:hAnsi="Calibri" w:eastAsia="Calibri"/>
          <w:lang w:val="en-US"/>
        </w:rPr>
      </w:pPr>
      <w:r>
        <w:rPr>
          <w:rStyle w:val="None"/>
          <w:rFonts w:ascii="Calibri" w:cs="Calibri" w:hAnsi="Calibri" w:eastAsia="Calibri"/>
          <w:sz w:val="18"/>
          <w:szCs w:val="18"/>
          <w:lang w:val="en-US"/>
        </w:rPr>
        <w:br w:type="textWrapping"/>
      </w:r>
      <w:r>
        <w:rPr>
          <w:rStyle w:val="None"/>
          <w:rFonts w:ascii="Calibri" w:hAnsi="Calibri"/>
          <w:outline w:val="0"/>
          <w:color w:val="242424"/>
          <w:sz w:val="18"/>
          <w:szCs w:val="18"/>
          <w:rtl w:val="0"/>
          <w:lang w:val="en-US"/>
          <w14:textFill>
            <w14:solidFill>
              <w14:srgbClr w14:val="242424"/>
            </w14:solidFill>
          </w14:textFill>
        </w:rPr>
        <w:t>Roberts CE,</w:t>
      </w:r>
      <w:r>
        <w:rPr>
          <w:rStyle w:val="None"/>
          <w:rFonts w:ascii="Calibri" w:hAnsi="Calibri" w:hint="default"/>
          <w:outline w:val="0"/>
          <w:color w:val="242424"/>
          <w:sz w:val="18"/>
          <w:szCs w:val="18"/>
          <w:rtl w:val="0"/>
          <w:lang w:val="en-US"/>
          <w14:textFill>
            <w14:solidFill>
              <w14:srgbClr w14:val="242424"/>
            </w14:solidFill>
          </w14:textFill>
        </w:rPr>
        <w:t> </w:t>
      </w:r>
      <w:r>
        <w:rPr>
          <w:rStyle w:val="None"/>
          <w:rFonts w:ascii="Calibri" w:hAnsi="Calibri"/>
          <w:outline w:val="0"/>
          <w:color w:val="242424"/>
          <w:sz w:val="18"/>
          <w:szCs w:val="18"/>
          <w:rtl w:val="0"/>
          <w:lang w:val="en-US"/>
          <w14:textFill>
            <w14:solidFill>
              <w14:srgbClr w14:val="242424"/>
            </w14:solidFill>
          </w14:textFill>
        </w:rPr>
        <w:t>Mansour MR,</w:t>
      </w:r>
      <w:r>
        <w:rPr>
          <w:rStyle w:val="None"/>
          <w:rFonts w:ascii="Calibri" w:hAnsi="Calibri" w:hint="default"/>
          <w:outline w:val="0"/>
          <w:color w:val="242424"/>
          <w:sz w:val="18"/>
          <w:szCs w:val="18"/>
          <w:rtl w:val="0"/>
          <w:lang w:val="en-US"/>
          <w14:textFill>
            <w14:solidFill>
              <w14:srgbClr w14:val="242424"/>
            </w14:solidFill>
          </w14:textFill>
        </w:rPr>
        <w:t> </w:t>
      </w:r>
      <w:r>
        <w:rPr>
          <w:rStyle w:val="None"/>
          <w:rFonts w:ascii="Calibri" w:hAnsi="Calibri"/>
          <w:b w:val="1"/>
          <w:bCs w:val="1"/>
          <w:outline w:val="0"/>
          <w:color w:val="242424"/>
          <w:sz w:val="18"/>
          <w:szCs w:val="18"/>
          <w:rtl w:val="0"/>
          <w:lang w:val="en-US"/>
          <w14:textFill>
            <w14:solidFill>
              <w14:srgbClr w14:val="242424"/>
            </w14:solidFill>
          </w14:textFill>
        </w:rPr>
        <w:t>Nageeb EM</w:t>
      </w:r>
      <w:r>
        <w:rPr>
          <w:rStyle w:val="None"/>
          <w:rFonts w:ascii="Calibri" w:hAnsi="Calibri"/>
          <w:outline w:val="0"/>
          <w:color w:val="242424"/>
          <w:sz w:val="18"/>
          <w:szCs w:val="18"/>
          <w:rtl w:val="0"/>
          <w:lang w:val="en-US"/>
          <w14:textFill>
            <w14:solidFill>
              <w14:srgbClr w14:val="242424"/>
            </w14:solidFill>
          </w14:textFill>
        </w:rPr>
        <w:t>, Krause KR. Gastric Remnant Volvulus following a Roux-en-Y</w:t>
      </w:r>
      <w:r>
        <w:rPr>
          <w:rStyle w:val="None"/>
          <w:rFonts w:ascii="Calibri" w:hAnsi="Calibri" w:hint="default"/>
          <w:outline w:val="0"/>
          <w:color w:val="242424"/>
          <w:sz w:val="18"/>
          <w:szCs w:val="18"/>
          <w:rtl w:val="0"/>
          <w:lang w:val="en-US"/>
          <w14:textFill>
            <w14:solidFill>
              <w14:srgbClr w14:val="242424"/>
            </w14:solidFill>
          </w14:textFill>
        </w:rPr>
        <w:t> </w:t>
      </w:r>
      <w:r>
        <w:rPr>
          <w:rStyle w:val="None"/>
          <w:rFonts w:ascii="Calibri" w:hAnsi="Calibri"/>
          <w:sz w:val="18"/>
          <w:szCs w:val="18"/>
          <w:rtl w:val="0"/>
          <w:lang w:val="en-US"/>
        </w:rPr>
        <w:t>Gastric Bypass: A Case Report.</w:t>
      </w:r>
      <w:r>
        <w:rPr>
          <w:rStyle w:val="None"/>
          <w:rFonts w:ascii="Calibri" w:hAnsi="Calibri" w:hint="default"/>
          <w:sz w:val="18"/>
          <w:szCs w:val="18"/>
          <w:rtl w:val="0"/>
          <w:lang w:val="en-US"/>
        </w:rPr>
        <w:t> </w:t>
      </w:r>
      <w:r>
        <w:rPr>
          <w:rStyle w:val="None"/>
          <w:rFonts w:ascii="Calibri" w:hAnsi="Calibri"/>
          <w:sz w:val="18"/>
          <w:szCs w:val="18"/>
          <w:rtl w:val="0"/>
          <w:lang w:val="en-US"/>
        </w:rPr>
        <w:t>Accepted</w:t>
      </w:r>
      <w:r>
        <w:rPr>
          <w:rStyle w:val="None"/>
          <w:rFonts w:ascii="Calibri" w:hAnsi="Calibri"/>
          <w:sz w:val="18"/>
          <w:szCs w:val="18"/>
          <w:rtl w:val="0"/>
          <w:lang w:val="en-US"/>
        </w:rPr>
        <w:t xml:space="preserve"> for publication at Journal of Minimally Invasive Surgery.</w:t>
      </w:r>
    </w:p>
    <w:p>
      <w:pPr>
        <w:pStyle w:val="Normal.0"/>
        <w:spacing w:line="200" w:lineRule="exact"/>
        <w:jc w:val="both"/>
        <w:rPr>
          <w:rStyle w:val="None"/>
          <w:rFonts w:ascii="Calibri" w:cs="Calibri" w:hAnsi="Calibri" w:eastAsia="Calibri"/>
        </w:rPr>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hAnsi="Calibri"/>
          <w:rtl w:val="0"/>
          <w:lang w:val="en-US"/>
        </w:rPr>
        <w:t xml:space="preserve">   </w:t>
      </w:r>
      <w:r>
        <w:rPr>
          <w:rStyle w:val="None"/>
          <w:rFonts w:ascii="Calibri" w:cs="Calibri" w:hAnsi="Calibri" w:eastAsia="Calibri"/>
        </w:rPr>
      </w:r>
    </w:p>
    <w:p>
      <w:pPr>
        <w:pStyle w:val="Body Text"/>
        <w:rPr>
          <w:rStyle w:val="None"/>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Pr>
        <mc:AlternateContent>
          <mc:Choice Requires="wps">
            <w:drawing xmlns:a="http://schemas.openxmlformats.org/drawingml/2006/main">
              <wp:inline distT="0" distB="0" distL="0" distR="0">
                <wp:extent cx="3950335" cy="0"/>
                <wp:effectExtent l="0" t="0" r="0" b="0"/>
                <wp:docPr id="1073741830" name="officeArt object" descr="Line"/>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r>
        <w:rPr>
          <w:rStyle w:val="None"/>
        </w:rPr>
        <mc:AlternateContent>
          <mc:Choice Requires="wps">
            <w:drawing xmlns:a="http://schemas.openxmlformats.org/drawingml/2006/main">
              <wp:inline distT="0" distB="0" distL="0" distR="0">
                <wp:extent cx="3975735" cy="25400"/>
                <wp:effectExtent l="0" t="0" r="0" b="0"/>
                <wp:docPr id="1073741831" name="officeArt object" descr="Rectangle"/>
                <wp:cNvGraphicFramePr/>
                <a:graphic xmlns:a="http://schemas.openxmlformats.org/drawingml/2006/main">
                  <a:graphicData uri="http://schemas.microsoft.com/office/word/2010/wordprocessingShape">
                    <wps:wsp>
                      <wps:cNvSpPr/>
                      <wps:spPr>
                        <a:xfrm>
                          <a:off x="0" y="0"/>
                          <a:ext cx="3975735" cy="25400"/>
                        </a:xfrm>
                        <a:prstGeom prst="rect">
                          <a:avLst/>
                        </a:prstGeom>
                        <a:noFill/>
                        <a:ln w="12700" cap="flat">
                          <a:noFill/>
                          <a:miter lim="400000"/>
                        </a:ln>
                        <a:effectLst/>
                      </wps:spPr>
                      <wps:bodyPr/>
                    </wps:wsp>
                  </a:graphicData>
                </a:graphic>
              </wp:inline>
            </w:drawing>
          </mc:Choice>
          <mc:Fallback>
            <w:pict>
              <v:rect id="_x0000_s1027" style="visibility:visible;width:313.0pt;height:2.0pt;">
                <v:fill on="f"/>
                <v:stroke on="f" weight="1.0pt" dashstyle="solid" endcap="flat" miterlimit="400.0%" joinstyle="miter" linestyle="single" startarrow="none" startarrowwidth="medium" startarrowlength="medium" endarrow="none" endarrowwidth="medium" endarrowlength="medium"/>
              </v:rect>
            </w:pict>
          </mc:Fallback>
        </mc:AlternateContent>
      </w:r>
    </w:p>
    <w:p>
      <w:pPr>
        <w:pStyle w:val="Normal.0"/>
        <w:spacing w:before="92"/>
        <w:ind w:right="4234"/>
        <w:rPr>
          <w:rStyle w:val="None"/>
          <w:rFonts w:ascii="Arial" w:cs="Arial" w:hAnsi="Arial" w:eastAsia="Arial"/>
        </w:rPr>
      </w:pPr>
      <w:r>
        <w:rPr>
          <w:rStyle w:val="None"/>
          <w:rtl w:val="0"/>
          <w:lang w:val="en-US"/>
        </w:rPr>
        <w:t xml:space="preserve">              </w:t>
      </w:r>
      <w:r>
        <w:rPr>
          <w:rStyle w:val="None"/>
        </w:rPr>
        <w:drawing xmlns:a="http://schemas.openxmlformats.org/drawingml/2006/main">
          <wp:inline distT="0" distB="0" distL="0" distR="0">
            <wp:extent cx="628035" cy="622947"/>
            <wp:effectExtent l="0" t="0" r="0" b="0"/>
            <wp:docPr id="1073741832" name="officeArt object" descr="Description: dummy"/>
            <wp:cNvGraphicFramePr/>
            <a:graphic xmlns:a="http://schemas.openxmlformats.org/drawingml/2006/main">
              <a:graphicData uri="http://schemas.openxmlformats.org/drawingml/2006/picture">
                <pic:pic xmlns:pic="http://schemas.openxmlformats.org/drawingml/2006/picture">
                  <pic:nvPicPr>
                    <pic:cNvPr id="1073741832" name="Description: dummy" descr="Description: dummy"/>
                    <pic:cNvPicPr>
                      <a:picLocks noChangeAspect="1"/>
                    </pic:cNvPicPr>
                  </pic:nvPicPr>
                  <pic:blipFill>
                    <a:blip r:embed="rId6">
                      <a:extLst/>
                    </a:blip>
                    <a:stretch>
                      <a:fillRect/>
                    </a:stretch>
                  </pic:blipFill>
                  <pic:spPr>
                    <a:xfrm>
                      <a:off x="0" y="0"/>
                      <a:ext cx="628035" cy="622947"/>
                    </a:xfrm>
                    <a:prstGeom prst="rect">
                      <a:avLst/>
                    </a:prstGeom>
                    <a:ln w="12700" cap="flat">
                      <a:noFill/>
                      <a:miter lim="400000"/>
                    </a:ln>
                    <a:effectLst/>
                  </pic:spPr>
                </pic:pic>
              </a:graphicData>
            </a:graphic>
          </wp:inline>
        </w:drawing>
      </w:r>
      <w:r>
        <w:rPr>
          <w:rStyle w:val="None"/>
          <w:rFonts w:ascii="Arial" w:hAnsi="Arial"/>
          <w:outline w:val="0"/>
          <w:color w:val="bf5a14"/>
          <w:u w:color="bf5a14"/>
          <w:rtl w:val="0"/>
          <w:lang w:val="en-US"/>
          <w14:textFill>
            <w14:solidFill>
              <w14:srgbClr w14:val="BF5A14"/>
            </w14:solidFill>
          </w14:textFill>
        </w:rPr>
        <w:t>Biography (150 word limit)</w:t>
      </w:r>
    </w:p>
    <w:p>
      <w:pPr>
        <w:pStyle w:val="Normal.0"/>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n-US"/>
        </w:rPr>
        <w:t>Emmanuel Nageeb is a General Surgery resident at Corewell Health William Beaumont University Hospital</w:t>
      </w:r>
      <w:r>
        <w:rPr>
          <w:rStyle w:val="None"/>
          <w:rFonts w:ascii="Arial" w:hAnsi="Arial"/>
          <w:sz w:val="14"/>
          <w:szCs w:val="14"/>
          <w:rtl w:val="0"/>
          <w:lang w:val="en-US"/>
        </w:rPr>
        <w:t>. He has a</w:t>
      </w:r>
      <w:r>
        <w:rPr>
          <w:rStyle w:val="None"/>
          <w:rFonts w:ascii="Arial" w:hAnsi="Arial"/>
          <w:sz w:val="14"/>
          <w:szCs w:val="14"/>
          <w:rtl w:val="0"/>
          <w:lang w:val="en-US"/>
        </w:rPr>
        <w:t xml:space="preserve"> BS from from the University of Akron and an MD from Northeast Ohio Medical University</w:t>
      </w:r>
      <w:r>
        <w:rPr>
          <w:rStyle w:val="None"/>
          <w:rFonts w:ascii="Arial" w:hAnsi="Arial"/>
          <w:sz w:val="14"/>
          <w:szCs w:val="14"/>
          <w:rtl w:val="0"/>
          <w:lang w:val="en-US"/>
        </w:rPr>
        <w:t>.</w:t>
      </w:r>
      <w:r>
        <w:rPr>
          <w:rStyle w:val="None"/>
          <w:rFonts w:ascii="Arial" w:hAnsi="Arial"/>
          <w:sz w:val="14"/>
          <w:szCs w:val="14"/>
          <w:rtl w:val="0"/>
          <w:lang w:val="en-US"/>
        </w:rPr>
        <w:t xml:space="preserve"> He is a member of the American College of Surgeons. </w:t>
      </w:r>
    </w:p>
    <w:p>
      <w:pPr>
        <w:pStyle w:val="Normal.0"/>
        <w:spacing w:before="62"/>
        <w:ind w:left="4217" w:right="4235" w:firstLine="0"/>
        <w:jc w:val="center"/>
        <w:rPr>
          <w:rStyle w:val="None"/>
          <w:rFonts w:ascii="Arial" w:cs="Arial" w:hAnsi="Arial" w:eastAsia="Arial"/>
          <w:sz w:val="14"/>
          <w:szCs w:val="14"/>
        </w:rPr>
      </w:pPr>
      <w:r>
        <w:rPr>
          <w:rStyle w:val="None"/>
          <w:rFonts w:ascii="Arial" w:hAnsi="Arial"/>
          <w:sz w:val="14"/>
          <w:szCs w:val="14"/>
          <w:rtl w:val="0"/>
          <w:lang w:val="en-US"/>
        </w:rPr>
        <w:t xml:space="preserve">Email: </w:t>
      </w:r>
      <w:r>
        <w:rPr>
          <w:rStyle w:val="None"/>
          <w:rFonts w:ascii="Arial" w:hAnsi="Arial"/>
          <w:sz w:val="14"/>
          <w:szCs w:val="14"/>
          <w:rtl w:val="0"/>
          <w:lang w:val="en-US"/>
        </w:rPr>
        <w:t>Emmanuel.nageeb@corewellhealth.org</w:t>
      </w:r>
    </w:p>
    <w:p>
      <w:pPr>
        <w:pStyle w:val="Body Text"/>
        <w:spacing w:before="2"/>
        <w:rPr>
          <w:rStyle w:val="None"/>
          <w:rFonts w:ascii="Arial" w:cs="Arial" w:hAnsi="Arial" w:eastAsia="Arial"/>
          <w:sz w:val="19"/>
          <w:szCs w:val="19"/>
        </w:rPr>
      </w:pPr>
      <w:r>
        <w:rPr>
          <w:rStyle w:val="None"/>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3" name="officeArt object" descr="Line"/>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8"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one"/>
          <w:rFonts w:ascii="Arial" w:cs="Arial" w:hAnsi="Arial" w:eastAsia="Arial"/>
          <w:sz w:val="20"/>
          <w:szCs w:val="20"/>
        </w:rPr>
      </w:pPr>
    </w:p>
    <w:p>
      <w:pPr>
        <w:pStyle w:val="Body Text"/>
        <w:rPr>
          <w:rStyle w:val="None"/>
          <w:rFonts w:ascii="Arial" w:cs="Arial" w:hAnsi="Arial" w:eastAsia="Arial"/>
          <w:sz w:val="20"/>
          <w:szCs w:val="20"/>
        </w:rPr>
      </w:pPr>
    </w:p>
    <w:p>
      <w:pPr>
        <w:pStyle w:val="Body Text"/>
        <w:spacing w:before="7"/>
        <w:rPr>
          <w:rStyle w:val="None"/>
          <w:rFonts w:ascii="Arial" w:cs="Arial" w:hAnsi="Arial" w:eastAsia="Arial"/>
          <w:sz w:val="29"/>
          <w:szCs w:val="29"/>
        </w:rPr>
      </w:pPr>
    </w:p>
    <w:p>
      <w:pPr>
        <w:pStyle w:val="Normal.0"/>
        <w:spacing w:before="39"/>
        <w:ind w:left="100" w:firstLine="0"/>
        <w:rPr>
          <w:rStyle w:val="None"/>
          <w:rFonts w:ascii="Minion Pro" w:cs="Minion Pro" w:hAnsi="Minion Pro" w:eastAsia="Minion Pro"/>
          <w:b w:val="1"/>
          <w:bCs w:val="1"/>
          <w:sz w:val="20"/>
          <w:szCs w:val="20"/>
        </w:rPr>
      </w:pPr>
      <w:r>
        <w:rPr>
          <w:rStyle w:val="None"/>
          <w:rFonts w:ascii="Minion Pro" w:cs="Minion Pro" w:hAnsi="Minion Pro" w:eastAsia="Minion Pro"/>
          <w:b w:val="1"/>
          <w:bCs w:val="1"/>
          <w:sz w:val="20"/>
          <w:szCs w:val="20"/>
          <w:rtl w:val="0"/>
          <w:lang w:val="en-US"/>
        </w:rPr>
        <w:t>Notes/Comments:</w:t>
      </w:r>
    </w:p>
    <w:p>
      <w:pPr>
        <w:pStyle w:val="Normal.0"/>
      </w:pPr>
      <w:r>
        <w:rPr>
          <w:rStyle w:val="None"/>
          <w:rFonts w:ascii="Minion Pro" w:cs="Minion Pro" w:hAnsi="Minion Pro" w:eastAsia="Minion Pro"/>
          <w:b w:val="1"/>
          <w:bCs w:val="1"/>
          <w:sz w:val="20"/>
          <w:szCs w:val="20"/>
        </w:rPr>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descr="T Furuta et al., J Pai n Relief 2016, 5:3(Suppl) http://dx.doi.org/10.4172/2167-0846.C1.006"/>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Normal.0"/>
                            <w:spacing w:before="2" w:line="249" w:lineRule="auto"/>
                            <w:ind w:left="156" w:right="18" w:hanging="137"/>
                          </w:pPr>
                          <w:r>
                            <w:rPr>
                              <w:rFonts w:ascii="Arial" w:hAnsi="Arial"/>
                              <w:outline w:val="0"/>
                              <w:color w:val="ffffff"/>
                              <w:sz w:val="14"/>
                              <w:szCs w:val="14"/>
                              <w:u w:color="ffffff"/>
                              <w:rtl w:val="0"/>
                              <w:lang w:val="en-US"/>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9"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before="2" w:line="249" w:lineRule="auto"/>
                      <w:ind w:left="156" w:right="18" w:hanging="137"/>
                    </w:pPr>
                    <w:r>
                      <w:rPr>
                        <w:rFonts w:ascii="Arial" w:hAnsi="Arial"/>
                        <w:outline w:val="0"/>
                        <w:color w:val="ffffff"/>
                        <w:sz w:val="14"/>
                        <w:szCs w:val="14"/>
                        <w:u w:color="ffffff"/>
                        <w:rtl w:val="0"/>
                        <w:lang w:val="en-US"/>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International Conference on…"/>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outline w:val="0"/>
                              <w:color w:val="ffffff"/>
                              <w:u w:color="ffffff"/>
                              <w14:textFill>
                                <w14:solidFill>
                                  <w14:srgbClr w14:val="FFFFFF"/>
                                </w14:solidFill>
                              </w14:textFill>
                            </w:rPr>
                          </w:pPr>
                          <w:r>
                            <w:rPr>
                              <w:rStyle w:val="None"/>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Normal.0"/>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outline w:val="0"/>
                        <w:color w:val="ffffff"/>
                        <w:u w:color="ffffff"/>
                        <w14:textFill>
                          <w14:solidFill>
                            <w14:srgbClr w14:val="FFFFFF"/>
                          </w14:solidFill>
                        </w14:textFill>
                      </w:rPr>
                    </w:pPr>
                    <w:r>
                      <w:rPr>
                        <w:rStyle w:val="None"/>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Normal.0"/>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J Pain Relief…"/>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Normal.0"/>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p>
                        <w:p>
                          <w:pPr>
                            <w:pStyle w:val="Normal.0"/>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0" tIns="0" rIns="0" bIns="0" numCol="1" anchor="t">
                      <a:noAutofit/>
                    </wps:bodyPr>
                  </wps:wsp>
                </a:graphicData>
              </a:graphic>
            </wp:anchor>
          </w:drawing>
        </mc:Choice>
        <mc:Fallback>
          <w:pict>
            <v:shape id="_x0000_s1031"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p>
                  <w:p>
                    <w:pPr>
                      <w:pStyle w:val="Normal.0"/>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1" cy="316866"/>
              <wp:effectExtent l="0" t="0" r="0" b="0"/>
              <wp:wrapNone/>
              <wp:docPr id="1073741828" name="officeArt object" descr="Fibromyalgia 2016…"/>
              <wp:cNvGraphicFramePr/>
              <a:graphic xmlns:a="http://schemas.openxmlformats.org/drawingml/2006/main">
                <a:graphicData uri="http://schemas.microsoft.com/office/word/2010/wordprocessingShape">
                  <wps:wsp>
                    <wps:cNvSpPr txBox="1"/>
                    <wps:spPr>
                      <a:xfrm>
                        <a:off x="0" y="0"/>
                        <a:ext cx="1167131" cy="316866"/>
                      </a:xfrm>
                      <a:prstGeom prst="rect">
                        <a:avLst/>
                      </a:prstGeom>
                      <a:noFill/>
                      <a:ln w="12700" cap="flat">
                        <a:noFill/>
                        <a:miter lim="400000"/>
                      </a:ln>
                      <a:effectLst/>
                    </wps:spPr>
                    <wps:txbx>
                      <w:txbxContent>
                        <w:p>
                          <w:pPr>
                            <w:pStyle w:val="Normal.0"/>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lang w:val="en-US"/>
                              <w14:textFill>
                                <w14:solidFill>
                                  <w14:srgbClr w14:val="FFFFFF"/>
                                </w14:solidFill>
                              </w14:textFill>
                            </w:rPr>
                            <w:t>Fibromyalgia 2016</w:t>
                          </w:r>
                        </w:p>
                        <w:p>
                          <w:pPr>
                            <w:pStyle w:val="Normal.0"/>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0" tIns="0" rIns="0" bIns="0" numCol="1" anchor="t">
                      <a:noAutofit/>
                    </wps:bodyPr>
                  </wps:wsp>
                </a:graphicData>
              </a:graphic>
            </wp:anchor>
          </w:drawing>
        </mc:Choice>
        <mc:Fallback>
          <w:pict>
            <v:shape id="_x0000_s1032" type="#_x0000_t202" style="visibility:visible;position:absolute;margin-left:252.1pt;margin-top:799.0pt;width:91.9pt;height:25.0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lang w:val="en-US"/>
                        <w14:textFill>
                          <w14:solidFill>
                            <w14:srgbClr w14:val="FFFFFF"/>
                          </w14:solidFill>
                        </w14:textFill>
                      </w:rPr>
                      <w:t>Fibromyalgia 2016</w:t>
                    </w:r>
                  </w:p>
                  <w:p>
                    <w:pPr>
                      <w:pStyle w:val="Normal.0"/>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0" cy="330835"/>
              <wp:effectExtent l="0" t="0" r="0" b="0"/>
              <wp:wrapNone/>
              <wp:docPr id="1073741829" name="officeArt object" descr="Volume 5, Issue 3(Suppl)…"/>
              <wp:cNvGraphicFramePr/>
              <a:graphic xmlns:a="http://schemas.openxmlformats.org/drawingml/2006/main">
                <a:graphicData uri="http://schemas.microsoft.com/office/word/2010/wordprocessingShape">
                  <wps:wsp>
                    <wps:cNvSpPr txBox="1"/>
                    <wps:spPr>
                      <a:xfrm>
                        <a:off x="0" y="0"/>
                        <a:ext cx="1160780" cy="330835"/>
                      </a:xfrm>
                      <a:prstGeom prst="rect">
                        <a:avLst/>
                      </a:prstGeom>
                      <a:noFill/>
                      <a:ln w="12700" cap="flat">
                        <a:noFill/>
                        <a:miter lim="400000"/>
                      </a:ln>
                      <a:effectLst/>
                    </wps:spPr>
                    <wps:txbx>
                      <w:txbxContent>
                        <w:p>
                          <w:pPr>
                            <w:pStyle w:val="Normal.0"/>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p>
                        <w:p>
                          <w:pPr>
                            <w:pStyle w:val="Normal.0"/>
                            <w:spacing w:before="116"/>
                            <w:ind w:right="18"/>
                            <w:jc w:val="right"/>
                          </w:pPr>
                          <w:r>
                            <w:rPr>
                              <w:rStyle w:val="None"/>
                              <w:rFonts w:ascii="Minion Pro" w:cs="Minion Pro" w:hAnsi="Minion Pro" w:eastAsia="Minion Pro"/>
                              <w:outline w:val="0"/>
                              <w:color w:val="ffffff"/>
                              <w:sz w:val="16"/>
                              <w:szCs w:val="16"/>
                              <w:u w:color="ffffff"/>
                              <w:rtl w:val="0"/>
                              <w:lang w:val="en-US"/>
                              <w14:textFill>
                                <w14:solidFill>
                                  <w14:srgbClr w14:val="FFFFFF"/>
                                </w14:solidFill>
                              </w14:textFill>
                            </w:rPr>
                            <w:t>Page 40</w:t>
                          </w:r>
                        </w:p>
                      </w:txbxContent>
                    </wps:txbx>
                    <wps:bodyPr wrap="square" lIns="0" tIns="0" rIns="0" bIns="0" numCol="1" anchor="t">
                      <a:noAutofit/>
                    </wps:bodyPr>
                  </wps:wsp>
                </a:graphicData>
              </a:graphic>
            </wp:anchor>
          </w:drawing>
        </mc:Choice>
        <mc:Fallback>
          <w:pict>
            <v:shape id="_x0000_s1033" type="#_x0000_t202" style="visibility:visible;position:absolute;margin-left:468.9pt;margin-top:798.8pt;width:91.4pt;height:26.0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p>
                  <w:p>
                    <w:pPr>
                      <w:pStyle w:val="Normal.0"/>
                      <w:spacing w:before="116"/>
                      <w:ind w:right="18"/>
                      <w:jc w:val="right"/>
                    </w:pPr>
                    <w:r>
                      <w:rPr>
                        <w:rStyle w:val="None"/>
                        <w:rFonts w:ascii="Minion Pro" w:cs="Minion Pro" w:hAnsi="Minion Pro" w:eastAsia="Minion Pro"/>
                        <w:outline w:val="0"/>
                        <w:color w:val="ffffff"/>
                        <w:sz w:val="16"/>
                        <w:szCs w:val="16"/>
                        <w:u w:color="ffffff"/>
                        <w:rtl w:val="0"/>
                        <w:lang w:val="en-US"/>
                        <w14:textFill>
                          <w14:solidFill>
                            <w14:srgbClr w14:val="FFFFFF"/>
                          </w14:solidFill>
                        </w14:textFill>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outline w:val="0"/>
      <w:color w:val="ffffff"/>
      <w:sz w:val="14"/>
      <w:szCs w:val="14"/>
      <w:u w:color="ffffff"/>
      <w14:textFill>
        <w14:solidFill>
          <w14:srgbClr w14:val="FFFFFF"/>
        </w14:solidFill>
      </w14:textFill>
    </w:rPr>
  </w:style>
  <w:style w:type="paragraph" w:styleId="Heading 1">
    <w:name w:val="Heading 1"/>
    <w:next w:val="Heading 1"/>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noFill/>
      </w14:textOutline>
      <w14:textFill>
        <w14:solidFill>
          <w14:srgbClr w14:val="000000"/>
        </w14:solidFill>
      </w14:textFill>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