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44706" w14:textId="4A3476B1" w:rsidR="005257FE" w:rsidRPr="005257FE" w:rsidRDefault="005257FE" w:rsidP="00110747">
      <w:pPr>
        <w:spacing w:line="240" w:lineRule="auto"/>
        <w:rPr>
          <w:rFonts w:ascii="Calibri" w:eastAsia="Calibri" w:hAnsi="Calibri" w:cs="Calibri"/>
          <w:b/>
          <w:bCs/>
        </w:rPr>
      </w:pPr>
      <w:r>
        <w:rPr>
          <w:rFonts w:ascii="Calibri" w:eastAsia="Calibri" w:hAnsi="Calibri" w:cs="Calibri"/>
          <w:b/>
          <w:bCs/>
        </w:rPr>
        <w:t>OUTCOMES OF REVISIONS AND FIXATIONS FOLLOWING PERIPROSTHETIC FRACTURES AROUND THE HIP</w:t>
      </w:r>
    </w:p>
    <w:p w14:paraId="7CB58373" w14:textId="7D61737A" w:rsidR="005257FE" w:rsidRDefault="005257FE" w:rsidP="00110747">
      <w:pPr>
        <w:spacing w:line="240" w:lineRule="auto"/>
        <w:rPr>
          <w:rFonts w:ascii="Calibri" w:eastAsia="Calibri" w:hAnsi="Calibri" w:cs="Calibri"/>
          <w:i/>
          <w:iCs/>
        </w:rPr>
      </w:pPr>
      <w:r w:rsidRPr="005257FE">
        <w:rPr>
          <w:rFonts w:ascii="Calibri" w:eastAsia="Calibri" w:hAnsi="Calibri" w:cs="Calibri"/>
          <w:i/>
          <w:iCs/>
        </w:rPr>
        <w:t>Styliani Zachari, Alexander Mott,</w:t>
      </w:r>
      <w:r w:rsidRPr="005257FE">
        <w:rPr>
          <w:rFonts w:ascii="Calibri" w:eastAsia="Calibri" w:hAnsi="Calibri" w:cs="Calibri"/>
          <w:i/>
          <w:iCs/>
        </w:rPr>
        <w:t xml:space="preserve"> Lily Walter,</w:t>
      </w:r>
      <w:r w:rsidRPr="005257FE">
        <w:rPr>
          <w:rFonts w:ascii="Calibri" w:eastAsia="Calibri" w:hAnsi="Calibri" w:cs="Calibri"/>
          <w:i/>
          <w:iCs/>
        </w:rPr>
        <w:t xml:space="preserve"> Osama Tawfiq, Syed S. Ahmed</w:t>
      </w:r>
    </w:p>
    <w:p w14:paraId="4AC6575B" w14:textId="4FF50315" w:rsidR="005257FE" w:rsidRPr="005257FE" w:rsidRDefault="005257FE" w:rsidP="00110747">
      <w:pPr>
        <w:spacing w:line="240" w:lineRule="auto"/>
        <w:rPr>
          <w:rFonts w:ascii="Calibri" w:eastAsia="Calibri" w:hAnsi="Calibri" w:cs="Calibri"/>
          <w:i/>
          <w:iCs/>
        </w:rPr>
      </w:pPr>
      <w:r>
        <w:rPr>
          <w:rFonts w:ascii="Calibri" w:eastAsia="Calibri" w:hAnsi="Calibri" w:cs="Calibri"/>
          <w:i/>
          <w:iCs/>
        </w:rPr>
        <w:t>Maidstone and Tunbridge Wells NHS Trust</w:t>
      </w:r>
    </w:p>
    <w:p w14:paraId="5FBB9872" w14:textId="77777777" w:rsidR="005257FE" w:rsidRDefault="005257FE" w:rsidP="00110747">
      <w:pPr>
        <w:spacing w:line="240" w:lineRule="auto"/>
        <w:rPr>
          <w:rFonts w:ascii="Calibri" w:eastAsia="Calibri" w:hAnsi="Calibri" w:cs="Calibri"/>
        </w:rPr>
      </w:pPr>
    </w:p>
    <w:p w14:paraId="07DDCEEE" w14:textId="702BE9F7" w:rsidR="00753B7B" w:rsidRPr="001F0DF6" w:rsidRDefault="00753B7B" w:rsidP="00110747">
      <w:pPr>
        <w:spacing w:line="240" w:lineRule="auto"/>
        <w:rPr>
          <w:rFonts w:ascii="Calibri" w:eastAsia="Calibri" w:hAnsi="Calibri" w:cs="Calibri"/>
          <w:u w:val="single"/>
        </w:rPr>
      </w:pPr>
      <w:r w:rsidRPr="001F0DF6">
        <w:rPr>
          <w:rFonts w:ascii="Calibri" w:eastAsia="Calibri" w:hAnsi="Calibri" w:cs="Calibri"/>
          <w:u w:val="single"/>
        </w:rPr>
        <w:t>Background:</w:t>
      </w:r>
    </w:p>
    <w:p w14:paraId="06A81148" w14:textId="23342BBA" w:rsidR="00753B7B" w:rsidRDefault="00753B7B" w:rsidP="00110747">
      <w:pPr>
        <w:spacing w:line="240" w:lineRule="auto"/>
        <w:rPr>
          <w:rFonts w:ascii="Calibri" w:eastAsia="Calibri" w:hAnsi="Calibri" w:cs="Calibri"/>
        </w:rPr>
      </w:pPr>
      <w:r w:rsidRPr="00224EF6">
        <w:rPr>
          <w:rFonts w:ascii="Calibri" w:eastAsia="Calibri" w:hAnsi="Calibri" w:cs="Calibri"/>
        </w:rPr>
        <w:t xml:space="preserve">The rate of periprosthetic femoral fractures (PPFF) has risen due to an increasingly ageing population and number of hip arthroplasties performed. PPFF are associated with high morbidity and mortality. Their management is complex and guided by hip surgeons. Choosing between revision +/- fixation and open reduction internal fixation (ORIF) is based on implant stability as per the Unified Classification System (UCS). </w:t>
      </w:r>
    </w:p>
    <w:p w14:paraId="3B69C6FF" w14:textId="394B315E" w:rsidR="00753B7B" w:rsidRPr="001F0DF6" w:rsidRDefault="00753B7B" w:rsidP="00110747">
      <w:pPr>
        <w:spacing w:line="240" w:lineRule="auto"/>
        <w:rPr>
          <w:rFonts w:ascii="Calibri" w:eastAsia="Calibri" w:hAnsi="Calibri" w:cs="Calibri"/>
          <w:u w:val="single"/>
        </w:rPr>
      </w:pPr>
      <w:r w:rsidRPr="001F0DF6">
        <w:rPr>
          <w:rFonts w:ascii="Calibri" w:eastAsia="Calibri" w:hAnsi="Calibri" w:cs="Calibri"/>
          <w:u w:val="single"/>
        </w:rPr>
        <w:t>Aim:</w:t>
      </w:r>
    </w:p>
    <w:p w14:paraId="63582ED7" w14:textId="5F3B7298" w:rsidR="00753B7B" w:rsidRPr="00224EF6" w:rsidRDefault="00753B7B" w:rsidP="00110747">
      <w:pPr>
        <w:spacing w:line="240" w:lineRule="auto"/>
        <w:rPr>
          <w:rFonts w:ascii="Calibri" w:eastAsia="Calibri" w:hAnsi="Calibri" w:cs="Calibri"/>
        </w:rPr>
      </w:pPr>
      <w:r w:rsidRPr="00224EF6">
        <w:rPr>
          <w:rFonts w:ascii="Calibri" w:eastAsia="Calibri" w:hAnsi="Calibri" w:cs="Calibri"/>
        </w:rPr>
        <w:t>Our study aims to report clinical outcomes following both revision and fixation surgery for PPFF.</w:t>
      </w:r>
    </w:p>
    <w:p w14:paraId="4909D8A7" w14:textId="77777777" w:rsidR="00753B7B" w:rsidRPr="001F0DF6" w:rsidRDefault="00753B7B" w:rsidP="00110747">
      <w:pPr>
        <w:spacing w:line="240" w:lineRule="auto"/>
        <w:rPr>
          <w:rFonts w:ascii="Calibri" w:eastAsia="Calibri" w:hAnsi="Calibri" w:cs="Calibri"/>
          <w:u w:val="single"/>
        </w:rPr>
      </w:pPr>
      <w:r w:rsidRPr="001F0DF6">
        <w:rPr>
          <w:rFonts w:ascii="Calibri" w:eastAsia="Calibri" w:hAnsi="Calibri" w:cs="Calibri"/>
          <w:u w:val="single"/>
        </w:rPr>
        <w:t>Method:</w:t>
      </w:r>
    </w:p>
    <w:p w14:paraId="19C963C0" w14:textId="54FA242B" w:rsidR="00753B7B" w:rsidRPr="00224EF6" w:rsidRDefault="00753B7B" w:rsidP="00110747">
      <w:pPr>
        <w:spacing w:line="240" w:lineRule="auto"/>
        <w:rPr>
          <w:rFonts w:ascii="Calibri" w:eastAsia="Calibri" w:hAnsi="Calibri" w:cs="Calibri"/>
        </w:rPr>
      </w:pPr>
      <w:r w:rsidRPr="00224EF6">
        <w:rPr>
          <w:rFonts w:ascii="Calibri" w:eastAsia="Calibri" w:hAnsi="Calibri" w:cs="Calibri"/>
        </w:rPr>
        <w:t>This is a retrospective analysis of surgically managed PPFF in a busy centre from 2021-2023. PPFF of primary and revised total hip and hemiarthroplasties were included. The primary outcomes were 1-year re-operation rate and mortality rate following revision or ORIF. We also specifically analysed B2 fracture</w:t>
      </w:r>
      <w:r>
        <w:rPr>
          <w:rFonts w:ascii="Calibri" w:eastAsia="Calibri" w:hAnsi="Calibri" w:cs="Calibri"/>
        </w:rPr>
        <w:t>s management</w:t>
      </w:r>
      <w:r w:rsidRPr="00224EF6">
        <w:rPr>
          <w:rFonts w:ascii="Calibri" w:eastAsia="Calibri" w:hAnsi="Calibri" w:cs="Calibri"/>
        </w:rPr>
        <w:t xml:space="preserve">. Secondary outcomes included time to surgery, length of hospital stay, complication rate, </w:t>
      </w:r>
      <w:r w:rsidR="004E08F8" w:rsidRPr="00224EF6">
        <w:rPr>
          <w:rFonts w:ascii="Calibri" w:eastAsia="Calibri" w:hAnsi="Calibri" w:cs="Calibri"/>
        </w:rPr>
        <w:t>transfusion,</w:t>
      </w:r>
      <w:r w:rsidRPr="00224EF6">
        <w:rPr>
          <w:rFonts w:ascii="Calibri" w:eastAsia="Calibri" w:hAnsi="Calibri" w:cs="Calibri"/>
        </w:rPr>
        <w:t xml:space="preserve"> and critical care requirements. </w:t>
      </w:r>
    </w:p>
    <w:p w14:paraId="5E04717F" w14:textId="77777777" w:rsidR="00753B7B" w:rsidRPr="001F0DF6" w:rsidRDefault="00753B7B" w:rsidP="00110747">
      <w:pPr>
        <w:spacing w:line="240" w:lineRule="auto"/>
        <w:rPr>
          <w:rFonts w:ascii="Calibri" w:eastAsia="Calibri" w:hAnsi="Calibri" w:cs="Calibri"/>
          <w:u w:val="single"/>
        </w:rPr>
      </w:pPr>
      <w:r w:rsidRPr="001F0DF6">
        <w:rPr>
          <w:rFonts w:ascii="Calibri" w:eastAsia="Calibri" w:hAnsi="Calibri" w:cs="Calibri"/>
          <w:u w:val="single"/>
        </w:rPr>
        <w:t>Results:</w:t>
      </w:r>
    </w:p>
    <w:p w14:paraId="6B83108B" w14:textId="410EEBB4" w:rsidR="00753B7B" w:rsidRPr="00224EF6" w:rsidRDefault="00753B7B" w:rsidP="00110747">
      <w:pPr>
        <w:spacing w:line="240" w:lineRule="auto"/>
        <w:rPr>
          <w:rFonts w:ascii="Calibri" w:eastAsia="Calibri" w:hAnsi="Calibri" w:cs="Calibri"/>
        </w:rPr>
      </w:pPr>
      <w:r w:rsidRPr="00224EF6">
        <w:rPr>
          <w:rFonts w:ascii="Calibri" w:eastAsia="Calibri" w:hAnsi="Calibri" w:cs="Calibri"/>
        </w:rPr>
        <w:t xml:space="preserve">67 patients were included, 66% of which were female. Mean age at operation was 83 years. </w:t>
      </w:r>
      <w:r w:rsidR="00403C5C">
        <w:rPr>
          <w:rFonts w:ascii="Calibri" w:eastAsia="Calibri" w:hAnsi="Calibri" w:cs="Calibri"/>
        </w:rPr>
        <w:t>40</w:t>
      </w:r>
      <w:r w:rsidRPr="00224EF6">
        <w:rPr>
          <w:rFonts w:ascii="Calibri" w:eastAsia="Calibri" w:hAnsi="Calibri" w:cs="Calibri"/>
        </w:rPr>
        <w:t xml:space="preserve">% of patients had revision +/- fixation and </w:t>
      </w:r>
      <w:r w:rsidR="00403C5C">
        <w:rPr>
          <w:rFonts w:ascii="Calibri" w:eastAsia="Calibri" w:hAnsi="Calibri" w:cs="Calibri"/>
        </w:rPr>
        <w:t>60</w:t>
      </w:r>
      <w:r w:rsidRPr="00224EF6">
        <w:rPr>
          <w:rFonts w:ascii="Calibri" w:eastAsia="Calibri" w:hAnsi="Calibri" w:cs="Calibri"/>
        </w:rPr>
        <w:t>% had ORIF. 1 year re-operation rate was 1</w:t>
      </w:r>
      <w:r w:rsidR="00403C5C">
        <w:rPr>
          <w:rFonts w:ascii="Calibri" w:eastAsia="Calibri" w:hAnsi="Calibri" w:cs="Calibri"/>
        </w:rPr>
        <w:t>1</w:t>
      </w:r>
      <w:r w:rsidRPr="00224EF6">
        <w:rPr>
          <w:rFonts w:ascii="Calibri" w:eastAsia="Calibri" w:hAnsi="Calibri" w:cs="Calibri"/>
        </w:rPr>
        <w:t>.</w:t>
      </w:r>
      <w:r w:rsidR="00403C5C">
        <w:rPr>
          <w:rFonts w:ascii="Calibri" w:eastAsia="Calibri" w:hAnsi="Calibri" w:cs="Calibri"/>
        </w:rPr>
        <w:t>11</w:t>
      </w:r>
      <w:r w:rsidRPr="00224EF6">
        <w:rPr>
          <w:rFonts w:ascii="Calibri" w:eastAsia="Calibri" w:hAnsi="Calibri" w:cs="Calibri"/>
        </w:rPr>
        <w:t xml:space="preserve">% in revision and </w:t>
      </w:r>
      <w:r w:rsidR="00403C5C">
        <w:rPr>
          <w:rFonts w:ascii="Calibri" w:eastAsia="Calibri" w:hAnsi="Calibri" w:cs="Calibri"/>
        </w:rPr>
        <w:t>7.50</w:t>
      </w:r>
      <w:r w:rsidRPr="00224EF6">
        <w:rPr>
          <w:rFonts w:ascii="Calibri" w:eastAsia="Calibri" w:hAnsi="Calibri" w:cs="Calibri"/>
        </w:rPr>
        <w:t>% in ORIF</w:t>
      </w:r>
      <w:r>
        <w:rPr>
          <w:rFonts w:ascii="Calibri" w:eastAsia="Calibri" w:hAnsi="Calibri" w:cs="Calibri"/>
        </w:rPr>
        <w:t>.</w:t>
      </w:r>
      <w:r w:rsidRPr="00224EF6">
        <w:rPr>
          <w:rFonts w:ascii="Calibri" w:eastAsia="Calibri" w:hAnsi="Calibri" w:cs="Calibri"/>
        </w:rPr>
        <w:t xml:space="preserve"> 1-year mortality rate was 2</w:t>
      </w:r>
      <w:r w:rsidR="00403C5C">
        <w:rPr>
          <w:rFonts w:ascii="Calibri" w:eastAsia="Calibri" w:hAnsi="Calibri" w:cs="Calibri"/>
        </w:rPr>
        <w:t>5.93</w:t>
      </w:r>
      <w:r w:rsidRPr="00224EF6">
        <w:rPr>
          <w:rFonts w:ascii="Calibri" w:eastAsia="Calibri" w:hAnsi="Calibri" w:cs="Calibri"/>
        </w:rPr>
        <w:t>% in revision and 1</w:t>
      </w:r>
      <w:r w:rsidR="00403C5C">
        <w:rPr>
          <w:rFonts w:ascii="Calibri" w:eastAsia="Calibri" w:hAnsi="Calibri" w:cs="Calibri"/>
        </w:rPr>
        <w:t>0</w:t>
      </w:r>
      <w:r w:rsidRPr="00224EF6">
        <w:rPr>
          <w:rFonts w:ascii="Calibri" w:eastAsia="Calibri" w:hAnsi="Calibri" w:cs="Calibri"/>
        </w:rPr>
        <w:t xml:space="preserve">% in ORIF. Any complication rate was </w:t>
      </w:r>
      <w:r w:rsidR="00403C5C">
        <w:rPr>
          <w:rFonts w:ascii="Calibri" w:eastAsia="Calibri" w:hAnsi="Calibri" w:cs="Calibri"/>
        </w:rPr>
        <w:t>29.63</w:t>
      </w:r>
      <w:r w:rsidRPr="00224EF6">
        <w:rPr>
          <w:rFonts w:ascii="Calibri" w:eastAsia="Calibri" w:hAnsi="Calibri" w:cs="Calibri"/>
        </w:rPr>
        <w:t xml:space="preserve">% in revision and </w:t>
      </w:r>
      <w:r w:rsidR="00CA16AF">
        <w:rPr>
          <w:rFonts w:ascii="Calibri" w:eastAsia="Calibri" w:hAnsi="Calibri" w:cs="Calibri"/>
        </w:rPr>
        <w:t>7.50</w:t>
      </w:r>
      <w:r w:rsidRPr="00224EF6">
        <w:rPr>
          <w:rFonts w:ascii="Calibri" w:eastAsia="Calibri" w:hAnsi="Calibri" w:cs="Calibri"/>
        </w:rPr>
        <w:t>% in ORIF. Time to surgery (</w:t>
      </w:r>
      <w:r w:rsidR="00CA16AF">
        <w:rPr>
          <w:rFonts w:ascii="Calibri" w:eastAsia="Calibri" w:hAnsi="Calibri" w:cs="Calibri"/>
        </w:rPr>
        <w:t>89</w:t>
      </w:r>
      <w:r w:rsidRPr="00224EF6">
        <w:rPr>
          <w:rFonts w:ascii="Calibri" w:eastAsia="Calibri" w:hAnsi="Calibri" w:cs="Calibri"/>
        </w:rPr>
        <w:t xml:space="preserve"> and 7</w:t>
      </w:r>
      <w:r w:rsidR="00CA16AF">
        <w:rPr>
          <w:rFonts w:ascii="Calibri" w:eastAsia="Calibri" w:hAnsi="Calibri" w:cs="Calibri"/>
        </w:rPr>
        <w:t>7</w:t>
      </w:r>
      <w:r w:rsidRPr="00224EF6">
        <w:rPr>
          <w:rFonts w:ascii="Calibri" w:eastAsia="Calibri" w:hAnsi="Calibri" w:cs="Calibri"/>
        </w:rPr>
        <w:t xml:space="preserve"> hours) and length of hospital stay (18 and 17 days) were similar in both groups.</w:t>
      </w:r>
    </w:p>
    <w:p w14:paraId="1E1E848E" w14:textId="271A0432" w:rsidR="00753B7B" w:rsidRPr="00224EF6" w:rsidRDefault="00753B7B" w:rsidP="00110747">
      <w:pPr>
        <w:spacing w:line="240" w:lineRule="auto"/>
        <w:rPr>
          <w:rFonts w:ascii="Calibri" w:eastAsia="Calibri" w:hAnsi="Calibri" w:cs="Calibri"/>
        </w:rPr>
      </w:pPr>
      <w:r w:rsidRPr="00224EF6">
        <w:rPr>
          <w:rFonts w:ascii="Calibri" w:eastAsia="Calibri" w:hAnsi="Calibri" w:cs="Calibri"/>
        </w:rPr>
        <w:t>The majority of PPFF were B2 fractures (71.6</w:t>
      </w:r>
      <w:r w:rsidR="00DA5E7A">
        <w:rPr>
          <w:rFonts w:ascii="Calibri" w:eastAsia="Calibri" w:hAnsi="Calibri" w:cs="Calibri"/>
        </w:rPr>
        <w:t>4</w:t>
      </w:r>
      <w:r w:rsidRPr="00224EF6">
        <w:rPr>
          <w:rFonts w:ascii="Calibri" w:eastAsia="Calibri" w:hAnsi="Calibri" w:cs="Calibri"/>
        </w:rPr>
        <w:t xml:space="preserve">%), of which </w:t>
      </w:r>
      <w:r w:rsidR="00DA5E7A">
        <w:rPr>
          <w:rFonts w:ascii="Calibri" w:eastAsia="Calibri" w:hAnsi="Calibri" w:cs="Calibri"/>
        </w:rPr>
        <w:t>56.25</w:t>
      </w:r>
      <w:r w:rsidRPr="00224EF6">
        <w:rPr>
          <w:rFonts w:ascii="Calibri" w:eastAsia="Calibri" w:hAnsi="Calibri" w:cs="Calibri"/>
        </w:rPr>
        <w:t xml:space="preserve">% had revision and </w:t>
      </w:r>
      <w:r w:rsidR="00DA5E7A">
        <w:rPr>
          <w:rFonts w:ascii="Calibri" w:eastAsia="Calibri" w:hAnsi="Calibri" w:cs="Calibri"/>
        </w:rPr>
        <w:t>43.75</w:t>
      </w:r>
      <w:r w:rsidRPr="00224EF6">
        <w:rPr>
          <w:rFonts w:ascii="Calibri" w:eastAsia="Calibri" w:hAnsi="Calibri" w:cs="Calibri"/>
        </w:rPr>
        <w:t xml:space="preserve">% had ORIF. Re-operation </w:t>
      </w:r>
      <w:r>
        <w:rPr>
          <w:rFonts w:ascii="Calibri" w:eastAsia="Calibri" w:hAnsi="Calibri" w:cs="Calibri"/>
        </w:rPr>
        <w:t xml:space="preserve">was higher with revision </w:t>
      </w:r>
      <w:r w:rsidRPr="00224EF6">
        <w:rPr>
          <w:rFonts w:ascii="Calibri" w:eastAsia="Calibri" w:hAnsi="Calibri" w:cs="Calibri"/>
        </w:rPr>
        <w:t>(1</w:t>
      </w:r>
      <w:r w:rsidR="00DA5E7A">
        <w:rPr>
          <w:rFonts w:ascii="Calibri" w:eastAsia="Calibri" w:hAnsi="Calibri" w:cs="Calibri"/>
        </w:rPr>
        <w:t>1.11</w:t>
      </w:r>
      <w:r w:rsidRPr="00224EF6">
        <w:rPr>
          <w:rFonts w:ascii="Calibri" w:eastAsia="Calibri" w:hAnsi="Calibri" w:cs="Calibri"/>
        </w:rPr>
        <w:t xml:space="preserve"> vs. </w:t>
      </w:r>
      <w:r w:rsidR="00DA5E7A">
        <w:rPr>
          <w:rFonts w:ascii="Calibri" w:eastAsia="Calibri" w:hAnsi="Calibri" w:cs="Calibri"/>
        </w:rPr>
        <w:t>0</w:t>
      </w:r>
      <w:r w:rsidRPr="00224EF6">
        <w:rPr>
          <w:rFonts w:ascii="Calibri" w:eastAsia="Calibri" w:hAnsi="Calibri" w:cs="Calibri"/>
        </w:rPr>
        <w:t>%). Mortality (2</w:t>
      </w:r>
      <w:r w:rsidR="00DA5E7A">
        <w:rPr>
          <w:rFonts w:ascii="Calibri" w:eastAsia="Calibri" w:hAnsi="Calibri" w:cs="Calibri"/>
        </w:rPr>
        <w:t>5.93</w:t>
      </w:r>
      <w:r w:rsidRPr="00224EF6">
        <w:rPr>
          <w:rFonts w:ascii="Calibri" w:eastAsia="Calibri" w:hAnsi="Calibri" w:cs="Calibri"/>
        </w:rPr>
        <w:t xml:space="preserve">% vs </w:t>
      </w:r>
      <w:r w:rsidR="00DA5E7A">
        <w:rPr>
          <w:rFonts w:ascii="Calibri" w:eastAsia="Calibri" w:hAnsi="Calibri" w:cs="Calibri"/>
        </w:rPr>
        <w:t>14.29</w:t>
      </w:r>
      <w:r w:rsidRPr="00224EF6">
        <w:rPr>
          <w:rFonts w:ascii="Calibri" w:eastAsia="Calibri" w:hAnsi="Calibri" w:cs="Calibri"/>
        </w:rPr>
        <w:t xml:space="preserve">%) rates were understandably high in this cohort of patients. </w:t>
      </w:r>
    </w:p>
    <w:p w14:paraId="13D01055" w14:textId="77777777" w:rsidR="00753B7B" w:rsidRPr="001F0DF6" w:rsidRDefault="00753B7B" w:rsidP="00110747">
      <w:pPr>
        <w:spacing w:line="240" w:lineRule="auto"/>
        <w:rPr>
          <w:rFonts w:ascii="Calibri" w:eastAsia="Calibri" w:hAnsi="Calibri" w:cs="Calibri"/>
          <w:u w:val="single"/>
        </w:rPr>
      </w:pPr>
      <w:r w:rsidRPr="001F0DF6">
        <w:rPr>
          <w:rFonts w:ascii="Calibri" w:eastAsia="Calibri" w:hAnsi="Calibri" w:cs="Calibri"/>
          <w:u w:val="single"/>
        </w:rPr>
        <w:t>Conclusion:</w:t>
      </w:r>
    </w:p>
    <w:p w14:paraId="300F5111" w14:textId="77777777" w:rsidR="00753B7B" w:rsidRDefault="00753B7B" w:rsidP="00110747">
      <w:pPr>
        <w:spacing w:line="240" w:lineRule="auto"/>
        <w:rPr>
          <w:rFonts w:ascii="Calibri" w:hAnsi="Calibri" w:cs="Calibri"/>
        </w:rPr>
      </w:pPr>
      <w:r>
        <w:rPr>
          <w:rFonts w:ascii="Calibri" w:hAnsi="Calibri" w:cs="Calibri"/>
        </w:rPr>
        <w:t>PPFF</w:t>
      </w:r>
      <w:r w:rsidRPr="00224EF6">
        <w:rPr>
          <w:rFonts w:ascii="Calibri" w:hAnsi="Calibri" w:cs="Calibri"/>
        </w:rPr>
        <w:t xml:space="preserve"> pose a significant healthcare burden. ORIF has </w:t>
      </w:r>
      <w:r>
        <w:rPr>
          <w:rFonts w:ascii="Calibri" w:hAnsi="Calibri" w:cs="Calibri"/>
        </w:rPr>
        <w:t>shown</w:t>
      </w:r>
      <w:r w:rsidRPr="00224EF6">
        <w:rPr>
          <w:rFonts w:ascii="Calibri" w:hAnsi="Calibri" w:cs="Calibri"/>
        </w:rPr>
        <w:t xml:space="preserve"> beneficial outcomes for B2 fractures when anatomical reduction can be achieved. A further study will evaluate post-operative mobility and patient reported outcomes following both </w:t>
      </w:r>
      <w:r>
        <w:rPr>
          <w:rFonts w:ascii="Calibri" w:hAnsi="Calibri" w:cs="Calibri"/>
        </w:rPr>
        <w:t>treatments</w:t>
      </w:r>
      <w:r w:rsidRPr="00224EF6">
        <w:rPr>
          <w:rFonts w:ascii="Calibri" w:hAnsi="Calibri" w:cs="Calibri"/>
        </w:rPr>
        <w:t xml:space="preserve">. </w:t>
      </w:r>
    </w:p>
    <w:p w14:paraId="0DF88095" w14:textId="77777777" w:rsidR="00110747" w:rsidRDefault="00110747" w:rsidP="00110747">
      <w:pPr>
        <w:spacing w:line="240" w:lineRule="auto"/>
        <w:rPr>
          <w:rFonts w:ascii="Calibri" w:hAnsi="Calibri" w:cs="Calibri"/>
        </w:rPr>
      </w:pPr>
    </w:p>
    <w:p w14:paraId="1BBFF1BD" w14:textId="77777777" w:rsidR="00110747" w:rsidRDefault="00110747" w:rsidP="00110747">
      <w:pPr>
        <w:spacing w:line="240" w:lineRule="auto"/>
        <w:rPr>
          <w:rFonts w:ascii="Calibri" w:hAnsi="Calibri" w:cs="Calibri"/>
        </w:rPr>
      </w:pPr>
    </w:p>
    <w:p w14:paraId="5DC93406" w14:textId="77777777" w:rsidR="00110747" w:rsidRDefault="00110747" w:rsidP="00110747">
      <w:pPr>
        <w:spacing w:line="240" w:lineRule="auto"/>
        <w:rPr>
          <w:rFonts w:ascii="Calibri" w:hAnsi="Calibri" w:cs="Calibri"/>
        </w:rPr>
      </w:pPr>
    </w:p>
    <w:p w14:paraId="5ECE51C0" w14:textId="15E52D13" w:rsidR="001F0DF6" w:rsidRPr="00371481" w:rsidRDefault="001F0DF6" w:rsidP="00110747">
      <w:pPr>
        <w:spacing w:line="240" w:lineRule="auto"/>
        <w:rPr>
          <w:rFonts w:ascii="Calibri" w:hAnsi="Calibri" w:cs="Calibri"/>
          <w:u w:val="single"/>
        </w:rPr>
      </w:pPr>
      <w:r w:rsidRPr="00371481">
        <w:rPr>
          <w:rFonts w:ascii="Calibri" w:hAnsi="Calibri" w:cs="Calibri"/>
          <w:u w:val="single"/>
        </w:rPr>
        <w:lastRenderedPageBreak/>
        <w:t>References:</w:t>
      </w:r>
    </w:p>
    <w:p w14:paraId="49A3FCA3" w14:textId="77777777" w:rsidR="00371481" w:rsidRPr="00371481" w:rsidRDefault="00371481" w:rsidP="00110747">
      <w:pPr>
        <w:spacing w:line="240" w:lineRule="auto"/>
        <w:rPr>
          <w:rFonts w:ascii="Calibri" w:hAnsi="Calibri" w:cs="Calibri"/>
        </w:rPr>
      </w:pPr>
      <w:r w:rsidRPr="00371481">
        <w:rPr>
          <w:rFonts w:ascii="Calibri" w:hAnsi="Calibri" w:cs="Calibri"/>
        </w:rPr>
        <w:t xml:space="preserve">1. Pivec R, Issa K, Kapadia BH, Cherian JJ, Maheshwari AJ, </w:t>
      </w:r>
      <w:proofErr w:type="spellStart"/>
      <w:r w:rsidRPr="00371481">
        <w:rPr>
          <w:rFonts w:ascii="Calibri" w:hAnsi="Calibri" w:cs="Calibri"/>
        </w:rPr>
        <w:t>Bonutti</w:t>
      </w:r>
      <w:proofErr w:type="spellEnd"/>
      <w:r w:rsidRPr="00371481">
        <w:rPr>
          <w:rFonts w:ascii="Calibri" w:hAnsi="Calibri" w:cs="Calibri"/>
        </w:rPr>
        <w:t xml:space="preserve"> PM, et al. Incidence and future projections of periprosthetic femoral fracture following primary total hip arthroplasty: An analysis of international registry data. Journal of Long-Term Effects of Medical Implants. 2015;25(4):269–75. doi:10.1615/jlongtermeffmedimplants.2015012625 </w:t>
      </w:r>
    </w:p>
    <w:p w14:paraId="331FDB26" w14:textId="77777777" w:rsidR="00371481" w:rsidRPr="00371481" w:rsidRDefault="00371481" w:rsidP="00110747">
      <w:pPr>
        <w:spacing w:line="240" w:lineRule="auto"/>
        <w:rPr>
          <w:rFonts w:ascii="Calibri" w:hAnsi="Calibri" w:cs="Calibri"/>
        </w:rPr>
      </w:pPr>
    </w:p>
    <w:p w14:paraId="682703CA" w14:textId="77777777" w:rsidR="00371481" w:rsidRPr="00371481" w:rsidRDefault="00371481" w:rsidP="00110747">
      <w:pPr>
        <w:spacing w:line="240" w:lineRule="auto"/>
        <w:rPr>
          <w:rFonts w:ascii="Calibri" w:hAnsi="Calibri" w:cs="Calibri"/>
        </w:rPr>
      </w:pPr>
      <w:r w:rsidRPr="00371481">
        <w:rPr>
          <w:rFonts w:ascii="Calibri" w:hAnsi="Calibri" w:cs="Calibri"/>
        </w:rPr>
        <w:t xml:space="preserve">2. No authors listed . BHS surgical standards for the management of total hip arthroplasty peri-prosthetic fractures . British Hip Society. 2022. https://britishhipsociety.com/wp-content/uploads/2022/02/BHSSS-BOAST-for-Revision-for-Periprosthetic-Fracture.pdf ( date last accessed 2 May 2024 ) </w:t>
      </w:r>
    </w:p>
    <w:p w14:paraId="3BC9450F" w14:textId="77777777" w:rsidR="00371481" w:rsidRPr="00371481" w:rsidRDefault="00371481" w:rsidP="00110747">
      <w:pPr>
        <w:spacing w:line="240" w:lineRule="auto"/>
        <w:rPr>
          <w:rFonts w:ascii="Calibri" w:hAnsi="Calibri" w:cs="Calibri"/>
        </w:rPr>
      </w:pPr>
    </w:p>
    <w:p w14:paraId="336B20C6" w14:textId="77777777" w:rsidR="00371481" w:rsidRPr="00371481" w:rsidRDefault="00371481" w:rsidP="00110747">
      <w:pPr>
        <w:spacing w:line="240" w:lineRule="auto"/>
        <w:rPr>
          <w:rFonts w:ascii="Calibri" w:hAnsi="Calibri" w:cs="Calibri"/>
        </w:rPr>
      </w:pPr>
      <w:r w:rsidRPr="00371481">
        <w:rPr>
          <w:rFonts w:ascii="Calibri" w:hAnsi="Calibri" w:cs="Calibri"/>
        </w:rPr>
        <w:t xml:space="preserve">3. Quah C, Porteous M, Stephen A. Principles of managing </w:t>
      </w:r>
      <w:proofErr w:type="spellStart"/>
      <w:r w:rsidRPr="00371481">
        <w:rPr>
          <w:rFonts w:ascii="Calibri" w:hAnsi="Calibri" w:cs="Calibri"/>
        </w:rPr>
        <w:t>vancouver</w:t>
      </w:r>
      <w:proofErr w:type="spellEnd"/>
      <w:r w:rsidRPr="00371481">
        <w:rPr>
          <w:rFonts w:ascii="Calibri" w:hAnsi="Calibri" w:cs="Calibri"/>
        </w:rPr>
        <w:t xml:space="preserve"> type B periprosthetic fractures around cemented polished tapered femoral stems - European Journal of Orthopaedic Surgery &amp; Traumatology [Internet]. Springer Paris; 2016 [cited 2024 May 2]. Available from: https://link.springer.com/article/10.1007/s00590-016-1883-7 </w:t>
      </w:r>
    </w:p>
    <w:p w14:paraId="2FD51AFB" w14:textId="77777777" w:rsidR="00371481" w:rsidRPr="00371481" w:rsidRDefault="00371481" w:rsidP="00110747">
      <w:pPr>
        <w:spacing w:line="240" w:lineRule="auto"/>
        <w:rPr>
          <w:rFonts w:ascii="Calibri" w:hAnsi="Calibri" w:cs="Calibri"/>
        </w:rPr>
      </w:pPr>
    </w:p>
    <w:p w14:paraId="1D78DADD" w14:textId="77777777" w:rsidR="00371481" w:rsidRPr="00371481" w:rsidRDefault="00371481" w:rsidP="00110747">
      <w:pPr>
        <w:spacing w:line="240" w:lineRule="auto"/>
        <w:rPr>
          <w:rFonts w:ascii="Calibri" w:hAnsi="Calibri" w:cs="Calibri"/>
        </w:rPr>
      </w:pPr>
      <w:r w:rsidRPr="00371481">
        <w:rPr>
          <w:rFonts w:ascii="Calibri" w:hAnsi="Calibri" w:cs="Calibri"/>
        </w:rPr>
        <w:t xml:space="preserve">4. Jain S, Farook MZ, Aslam-Pervez N, Amer M, Martin DH, Unnithan A, et al. A multicentre comparative analysis of fixation versus revision surgery for periprosthetic femoral fractures following total hip arthroplasty with a cemented polished taper-slip femoral component. The Bone &amp;amp; Joint Journal. 2023 Feb 1;105-B(2):124–34. doi:10.1302/0301-620x.105b2.bjj-2022-0685.r1 </w:t>
      </w:r>
    </w:p>
    <w:p w14:paraId="4071154B" w14:textId="77777777" w:rsidR="00371481" w:rsidRPr="00371481" w:rsidRDefault="00371481" w:rsidP="00110747">
      <w:pPr>
        <w:spacing w:line="240" w:lineRule="auto"/>
        <w:rPr>
          <w:rFonts w:ascii="Calibri" w:hAnsi="Calibri" w:cs="Calibri"/>
        </w:rPr>
      </w:pPr>
    </w:p>
    <w:p w14:paraId="4D4AC340" w14:textId="77777777" w:rsidR="00371481" w:rsidRPr="00371481" w:rsidRDefault="00371481" w:rsidP="00110747">
      <w:pPr>
        <w:spacing w:line="240" w:lineRule="auto"/>
        <w:rPr>
          <w:rFonts w:ascii="Calibri" w:hAnsi="Calibri" w:cs="Calibri"/>
        </w:rPr>
      </w:pPr>
      <w:r w:rsidRPr="00371481">
        <w:rPr>
          <w:rFonts w:ascii="Calibri" w:hAnsi="Calibri" w:cs="Calibri"/>
        </w:rPr>
        <w:t xml:space="preserve">5. Baggott PJ, Farook MZ, Pritchard M, Singh H, Bista A, Sobti A, et al. Periprosthetic femoral fractures and their surgical outcomes between 2011 and 2021: A Single-Centre Observational Study. </w:t>
      </w:r>
      <w:proofErr w:type="spellStart"/>
      <w:r w:rsidRPr="00371481">
        <w:rPr>
          <w:rFonts w:ascii="Calibri" w:hAnsi="Calibri" w:cs="Calibri"/>
        </w:rPr>
        <w:t>Cureus</w:t>
      </w:r>
      <w:proofErr w:type="spellEnd"/>
      <w:r w:rsidRPr="00371481">
        <w:rPr>
          <w:rFonts w:ascii="Calibri" w:hAnsi="Calibri" w:cs="Calibri"/>
        </w:rPr>
        <w:t xml:space="preserve">. 2022 Aug 24; doi:10.7759/cureus.28341 </w:t>
      </w:r>
    </w:p>
    <w:p w14:paraId="48314265" w14:textId="77777777" w:rsidR="00371481" w:rsidRPr="00371481" w:rsidRDefault="00371481" w:rsidP="00110747">
      <w:pPr>
        <w:spacing w:line="240" w:lineRule="auto"/>
        <w:rPr>
          <w:rFonts w:ascii="Calibri" w:hAnsi="Calibri" w:cs="Calibri"/>
        </w:rPr>
      </w:pPr>
    </w:p>
    <w:p w14:paraId="34C3CB23" w14:textId="24CCF5DC" w:rsidR="001F0DF6" w:rsidRPr="00224EF6" w:rsidRDefault="00371481" w:rsidP="00110747">
      <w:pPr>
        <w:spacing w:line="240" w:lineRule="auto"/>
        <w:rPr>
          <w:rFonts w:ascii="Calibri" w:hAnsi="Calibri" w:cs="Calibri"/>
        </w:rPr>
      </w:pPr>
      <w:r w:rsidRPr="00371481">
        <w:rPr>
          <w:rFonts w:ascii="Calibri" w:hAnsi="Calibri" w:cs="Calibri"/>
        </w:rPr>
        <w:t xml:space="preserve">6. Stoffel K, Blauth M, </w:t>
      </w:r>
      <w:proofErr w:type="spellStart"/>
      <w:r w:rsidRPr="00371481">
        <w:rPr>
          <w:rFonts w:ascii="Calibri" w:hAnsi="Calibri" w:cs="Calibri"/>
        </w:rPr>
        <w:t>Joeris</w:t>
      </w:r>
      <w:proofErr w:type="spellEnd"/>
      <w:r w:rsidRPr="00371481">
        <w:rPr>
          <w:rFonts w:ascii="Calibri" w:hAnsi="Calibri" w:cs="Calibri"/>
        </w:rPr>
        <w:t xml:space="preserve"> A, Blumenthal A, </w:t>
      </w:r>
      <w:proofErr w:type="spellStart"/>
      <w:r w:rsidRPr="00371481">
        <w:rPr>
          <w:rFonts w:ascii="Calibri" w:hAnsi="Calibri" w:cs="Calibri"/>
        </w:rPr>
        <w:t>Rometsch</w:t>
      </w:r>
      <w:proofErr w:type="spellEnd"/>
      <w:r w:rsidRPr="00371481">
        <w:rPr>
          <w:rFonts w:ascii="Calibri" w:hAnsi="Calibri" w:cs="Calibri"/>
        </w:rPr>
        <w:t xml:space="preserve"> E. Fracture fixation versus revision arthroplasty in Vancouver type B2 and B3 periprosthetic femoral fractures: A systematic review. Archives of Orthopaedic and Trauma Surgery. 2020 Feb 21;140(10):1381–94. doi:10.1007/s00402-020-03332-7</w:t>
      </w:r>
    </w:p>
    <w:p w14:paraId="0021379E" w14:textId="77777777" w:rsidR="00E307A7" w:rsidRDefault="00E307A7"/>
    <w:sectPr w:rsidR="00E307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B7B"/>
    <w:rsid w:val="000D561A"/>
    <w:rsid w:val="00110747"/>
    <w:rsid w:val="001F0DF6"/>
    <w:rsid w:val="00371481"/>
    <w:rsid w:val="00403C5C"/>
    <w:rsid w:val="004E08F8"/>
    <w:rsid w:val="005257FE"/>
    <w:rsid w:val="006E46E5"/>
    <w:rsid w:val="00753B7B"/>
    <w:rsid w:val="00CA16AF"/>
    <w:rsid w:val="00DA5E7A"/>
    <w:rsid w:val="00E307A7"/>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EBC5E"/>
  <w15:chartTrackingRefBased/>
  <w15:docId w15:val="{F148B727-EB51-4BB7-B7F3-EA295781C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B7B"/>
    <w:pPr>
      <w:spacing w:line="279" w:lineRule="auto"/>
    </w:pPr>
    <w:rPr>
      <w:rFonts w:eastAsiaTheme="minorEastAsia"/>
      <w:kern w:val="0"/>
      <w:sz w:val="24"/>
      <w:szCs w:val="24"/>
      <w:lang w:eastAsia="ja-JP"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6966071">
      <w:bodyDiv w:val="1"/>
      <w:marLeft w:val="0"/>
      <w:marRight w:val="0"/>
      <w:marTop w:val="0"/>
      <w:marBottom w:val="0"/>
      <w:divBdr>
        <w:top w:val="none" w:sz="0" w:space="0" w:color="auto"/>
        <w:left w:val="none" w:sz="0" w:space="0" w:color="auto"/>
        <w:bottom w:val="none" w:sz="0" w:space="0" w:color="auto"/>
        <w:right w:val="none" w:sz="0" w:space="0" w:color="auto"/>
      </w:divBdr>
      <w:divsChild>
        <w:div w:id="852306320">
          <w:marLeft w:val="0"/>
          <w:marRight w:val="0"/>
          <w:marTop w:val="0"/>
          <w:marBottom w:val="0"/>
          <w:divBdr>
            <w:top w:val="none" w:sz="0" w:space="0" w:color="auto"/>
            <w:left w:val="none" w:sz="0" w:space="0" w:color="auto"/>
            <w:bottom w:val="none" w:sz="0" w:space="0" w:color="auto"/>
            <w:right w:val="none" w:sz="0" w:space="0" w:color="auto"/>
          </w:divBdr>
        </w:div>
        <w:div w:id="464666236">
          <w:marLeft w:val="0"/>
          <w:marRight w:val="0"/>
          <w:marTop w:val="0"/>
          <w:marBottom w:val="0"/>
          <w:divBdr>
            <w:top w:val="none" w:sz="0" w:space="0" w:color="auto"/>
            <w:left w:val="none" w:sz="0" w:space="0" w:color="auto"/>
            <w:bottom w:val="none" w:sz="0" w:space="0" w:color="auto"/>
            <w:right w:val="none" w:sz="0" w:space="0" w:color="auto"/>
          </w:divBdr>
        </w:div>
        <w:div w:id="830604121">
          <w:marLeft w:val="0"/>
          <w:marRight w:val="0"/>
          <w:marTop w:val="0"/>
          <w:marBottom w:val="0"/>
          <w:divBdr>
            <w:top w:val="none" w:sz="0" w:space="0" w:color="auto"/>
            <w:left w:val="none" w:sz="0" w:space="0" w:color="auto"/>
            <w:bottom w:val="none" w:sz="0" w:space="0" w:color="auto"/>
            <w:right w:val="none" w:sz="0" w:space="0" w:color="auto"/>
          </w:divBdr>
        </w:div>
        <w:div w:id="2104303372">
          <w:marLeft w:val="0"/>
          <w:marRight w:val="0"/>
          <w:marTop w:val="0"/>
          <w:marBottom w:val="0"/>
          <w:divBdr>
            <w:top w:val="none" w:sz="0" w:space="0" w:color="auto"/>
            <w:left w:val="none" w:sz="0" w:space="0" w:color="auto"/>
            <w:bottom w:val="none" w:sz="0" w:space="0" w:color="auto"/>
            <w:right w:val="none" w:sz="0" w:space="0" w:color="auto"/>
          </w:divBdr>
        </w:div>
        <w:div w:id="812797405">
          <w:marLeft w:val="0"/>
          <w:marRight w:val="0"/>
          <w:marTop w:val="0"/>
          <w:marBottom w:val="0"/>
          <w:divBdr>
            <w:top w:val="none" w:sz="0" w:space="0" w:color="auto"/>
            <w:left w:val="none" w:sz="0" w:space="0" w:color="auto"/>
            <w:bottom w:val="none" w:sz="0" w:space="0" w:color="auto"/>
            <w:right w:val="none" w:sz="0" w:space="0" w:color="auto"/>
          </w:divBdr>
        </w:div>
        <w:div w:id="7850045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Zachari</dc:creator>
  <cp:keywords/>
  <dc:description/>
  <cp:lastModifiedBy>Stella Zachari</cp:lastModifiedBy>
  <cp:revision>8</cp:revision>
  <dcterms:created xsi:type="dcterms:W3CDTF">2024-07-03T09:41:00Z</dcterms:created>
  <dcterms:modified xsi:type="dcterms:W3CDTF">2024-07-03T10:18:00Z</dcterms:modified>
</cp:coreProperties>
</file>