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04DF5B" w14:textId="75B265FF" w:rsidR="00814754" w:rsidRDefault="00814754" w:rsidP="00814754">
      <w:pPr>
        <w:widowControl w:val="0"/>
        <w:spacing w:before="73" w:line="240" w:lineRule="auto"/>
        <w:ind w:right="5987"/>
        <w:rPr>
          <w:rFonts w:ascii="Segoe UI" w:eastAsia="Segoe UI" w:hAnsi="Segoe UI" w:cs="Segoe UI"/>
          <w:b/>
          <w:bCs/>
          <w:color w:val="337AB7"/>
          <w:sz w:val="36"/>
          <w:szCs w:val="36"/>
        </w:rPr>
      </w:pPr>
      <w:r w:rsidRPr="00814754">
        <w:rPr>
          <w:rFonts w:ascii="Segoe UI" w:eastAsia="Segoe UI" w:hAnsi="Segoe UI" w:cs="Segoe UI"/>
          <w:b/>
          <w:bCs/>
          <w:color w:val="337AB7"/>
          <w:sz w:val="36"/>
          <w:szCs w:val="36"/>
        </w:rPr>
        <w:t>Management of Post Dural Puncture Headache</w:t>
      </w:r>
      <w:r>
        <w:rPr>
          <w:rFonts w:ascii="Segoe UI" w:eastAsia="Segoe UI" w:hAnsi="Segoe UI" w:cs="Segoe UI"/>
          <w:b/>
          <w:bCs/>
          <w:color w:val="337AB7"/>
          <w:sz w:val="36"/>
          <w:szCs w:val="36"/>
        </w:rPr>
        <w:t xml:space="preserve"> </w:t>
      </w:r>
      <w:r w:rsidRPr="00814754">
        <w:rPr>
          <w:rFonts w:ascii="Segoe UI" w:eastAsia="Segoe UI" w:hAnsi="Segoe UI" w:cs="Segoe UI"/>
          <w:b/>
          <w:bCs/>
          <w:color w:val="337AB7"/>
          <w:sz w:val="36"/>
          <w:szCs w:val="36"/>
        </w:rPr>
        <w:t xml:space="preserve">Using Sphenopalatine Ganglion Block </w:t>
      </w:r>
    </w:p>
    <w:p w14:paraId="743CE034" w14:textId="727887F6" w:rsidR="001D2922" w:rsidRDefault="32CB9F52" w:rsidP="5FA80AAB">
      <w:pPr>
        <w:widowControl w:val="0"/>
        <w:spacing w:before="73" w:line="240" w:lineRule="exact"/>
        <w:ind w:right="5987"/>
      </w:pPr>
      <w:r w:rsidRPr="5FA80AAB">
        <w:rPr>
          <w:rFonts w:ascii="Arial" w:eastAsia="Arial" w:hAnsi="Arial" w:cs="Arial"/>
          <w:color w:val="000000" w:themeColor="text1"/>
          <w:sz w:val="18"/>
          <w:szCs w:val="18"/>
        </w:rPr>
        <w:t xml:space="preserve">Abuzar Baloach, DO. Mayo Clinic, USA. </w:t>
      </w:r>
    </w:p>
    <w:p w14:paraId="7A8F5E60" w14:textId="3C4F27EA" w:rsidR="001D2922" w:rsidRDefault="53694E69" w:rsidP="5FA80AAB">
      <w:pPr>
        <w:spacing w:before="288" w:after="288"/>
        <w:rPr>
          <w:rFonts w:ascii="Segoe UI" w:eastAsia="Segoe UI" w:hAnsi="Segoe UI" w:cs="Segoe UI"/>
          <w:color w:val="212121"/>
          <w:sz w:val="24"/>
          <w:szCs w:val="24"/>
        </w:rPr>
      </w:pPr>
      <w:r w:rsidRPr="5FA80AAB">
        <w:rPr>
          <w:rFonts w:ascii="Arial" w:eastAsia="Arial" w:hAnsi="Arial" w:cs="Arial"/>
          <w:b/>
          <w:bCs/>
          <w:color w:val="BF5A14"/>
          <w:sz w:val="19"/>
          <w:szCs w:val="19"/>
        </w:rPr>
        <w:t>Abstract</w:t>
      </w:r>
    </w:p>
    <w:p w14:paraId="53F25E4D" w14:textId="07B5CCEC" w:rsidR="004D4D91" w:rsidRPr="004D4D91" w:rsidRDefault="004D4D91" w:rsidP="004D4D91">
      <w:pPr>
        <w:rPr>
          <w:rFonts w:ascii="Tw Cen MT" w:eastAsia="Tw Cen MT" w:hAnsi="Tw Cen MT" w:cs="Tw Cen MT"/>
          <w:color w:val="212121"/>
          <w:sz w:val="18"/>
          <w:szCs w:val="18"/>
        </w:rPr>
      </w:pPr>
      <w:r w:rsidRPr="004D4D91">
        <w:rPr>
          <w:rFonts w:ascii="Tw Cen MT" w:eastAsia="Tw Cen MT" w:hAnsi="Tw Cen MT" w:cs="Tw Cen MT"/>
          <w:color w:val="212121"/>
          <w:sz w:val="18"/>
          <w:szCs w:val="18"/>
        </w:rPr>
        <w:t>Post Dural Puncture Headache (PDPH) is a recognized complication arising from inadvertent dural puncture, often occurring during procedures such as epidural anesthesia. This type of headache is characterized by exacerbation upon assuming an upright posture and typically alleviates when the individual lies down. Incidence rates vary, documented between 0.5% to 6% following dural puncture procedures. Numerous treatment modalities have been explored in attempts to manage PDPH, including a spectrum of conservative measures and pharmacological interventions. Sphenopalatine ganglion block, an emerging therapeutic approach, has also been investigated. This procedure involves the administration of local anesthetics to the sphenopalatine ganglion, aiming to modulate the trigeminal nerve's pain transmission. Conservative measures involve non-invasive methods such as hydration with intravenous fluids and analgesics, while pharmacological interventions like cosyntropin are considered. Moreover, the more invasive option of an epidural blood patch, while effective, carries risks including infection, bleeding, nerve damage, and accidental dural puncture during the process.</w:t>
      </w:r>
    </w:p>
    <w:p w14:paraId="172AEB5C" w14:textId="26CA8BA8" w:rsidR="003B1F69" w:rsidRDefault="004D4D91" w:rsidP="003B1F69">
      <w:pPr>
        <w:rPr>
          <w:rFonts w:ascii="Tw Cen MT" w:eastAsia="Tw Cen MT" w:hAnsi="Tw Cen MT" w:cs="Tw Cen MT"/>
          <w:color w:val="212121"/>
          <w:sz w:val="18"/>
          <w:szCs w:val="18"/>
        </w:rPr>
      </w:pPr>
      <w:r>
        <w:rPr>
          <w:rFonts w:ascii="Tw Cen MT" w:eastAsia="Tw Cen MT" w:hAnsi="Tw Cen MT" w:cs="Tw Cen MT"/>
          <w:color w:val="212121"/>
          <w:sz w:val="18"/>
          <w:szCs w:val="18"/>
        </w:rPr>
        <w:t xml:space="preserve">We </w:t>
      </w:r>
      <w:r w:rsidR="003B1F69" w:rsidRPr="003B1F69">
        <w:rPr>
          <w:rFonts w:ascii="Tw Cen MT" w:eastAsia="Tw Cen MT" w:hAnsi="Tw Cen MT" w:cs="Tw Cen MT"/>
          <w:color w:val="212121"/>
          <w:sz w:val="18"/>
          <w:szCs w:val="18"/>
        </w:rPr>
        <w:t xml:space="preserve">present a case of a 30-year-old woman who experienced PDPH following a dural puncture during labor. The patient, at 39 weeks gestation, endured an inadvertent dural puncture with subsequent intrathecal catheter placement. </w:t>
      </w:r>
      <w:r>
        <w:rPr>
          <w:rFonts w:ascii="Tw Cen MT" w:eastAsia="Tw Cen MT" w:hAnsi="Tw Cen MT" w:cs="Tw Cen MT"/>
          <w:color w:val="212121"/>
          <w:sz w:val="18"/>
          <w:szCs w:val="18"/>
        </w:rPr>
        <w:t xml:space="preserve">She had a history of previous dural punctures on her last three epidurals. </w:t>
      </w:r>
      <w:r w:rsidR="003B1F69" w:rsidRPr="003B1F69">
        <w:rPr>
          <w:rFonts w:ascii="Tw Cen MT" w:eastAsia="Tw Cen MT" w:hAnsi="Tw Cen MT" w:cs="Tw Cen MT"/>
          <w:color w:val="212121"/>
          <w:sz w:val="18"/>
          <w:szCs w:val="18"/>
        </w:rPr>
        <w:t>She encountered a postural, worsening headache which conservative measures failed to alleviate. Despite initial resistance to further invasive procedures, a sphenopalatine ganglion block with lidocaine and subsequently with bupivacaine provided significant relief, reducing the headache from 8/10 to 3/10. The patient was discharged with bupivacaine and instructions for self-administration of the block at home, leading to sustained relief.</w:t>
      </w:r>
    </w:p>
    <w:p w14:paraId="070CC7F1" w14:textId="6DE5A0AE" w:rsidR="00FD0827" w:rsidRPr="003B1F69" w:rsidRDefault="00FD0827" w:rsidP="003B1F69">
      <w:pPr>
        <w:rPr>
          <w:rFonts w:ascii="Tw Cen MT" w:eastAsia="Tw Cen MT" w:hAnsi="Tw Cen MT" w:cs="Tw Cen MT"/>
          <w:color w:val="212121"/>
          <w:sz w:val="18"/>
          <w:szCs w:val="18"/>
        </w:rPr>
      </w:pPr>
      <w:r w:rsidRPr="00FD0827">
        <w:rPr>
          <w:rFonts w:ascii="Tw Cen MT" w:eastAsia="Tw Cen MT" w:hAnsi="Tw Cen MT" w:cs="Tw Cen MT"/>
          <w:color w:val="212121"/>
          <w:sz w:val="18"/>
          <w:szCs w:val="18"/>
        </w:rPr>
        <w:t xml:space="preserve">Sphenopalatine ganglion block emerged as a feasible, minimally invasive alternative in managing PDPH in this patient, circumventing the need for an epidural blood patch given </w:t>
      </w:r>
      <w:r w:rsidR="004D4D91">
        <w:rPr>
          <w:rFonts w:ascii="Tw Cen MT" w:eastAsia="Tw Cen MT" w:hAnsi="Tw Cen MT" w:cs="Tw Cen MT"/>
          <w:color w:val="212121"/>
          <w:sz w:val="18"/>
          <w:szCs w:val="18"/>
        </w:rPr>
        <w:t xml:space="preserve">her </w:t>
      </w:r>
      <w:r w:rsidRPr="00FD0827">
        <w:rPr>
          <w:rFonts w:ascii="Tw Cen MT" w:eastAsia="Tw Cen MT" w:hAnsi="Tw Cen MT" w:cs="Tw Cen MT"/>
          <w:color w:val="212121"/>
          <w:sz w:val="18"/>
          <w:szCs w:val="18"/>
        </w:rPr>
        <w:t>history. This case highlights the potential of sphenopalatine ganglion block as a viable option in obstetric settings for refractory PDPH.</w:t>
      </w:r>
    </w:p>
    <w:p w14:paraId="375FBDC6" w14:textId="583AB5BA" w:rsidR="001D2922" w:rsidRDefault="544B4513" w:rsidP="5FA80AAB">
      <w:pPr>
        <w:spacing w:before="288" w:after="288"/>
        <w:rPr>
          <w:rFonts w:ascii="Arial" w:eastAsia="Arial" w:hAnsi="Arial" w:cs="Arial"/>
          <w:b/>
          <w:bCs/>
          <w:color w:val="212121"/>
          <w:sz w:val="20"/>
          <w:szCs w:val="20"/>
        </w:rPr>
      </w:pPr>
      <w:r w:rsidRPr="5FA80AAB">
        <w:rPr>
          <w:rFonts w:ascii="Arial" w:eastAsia="Arial" w:hAnsi="Arial" w:cs="Arial"/>
          <w:b/>
          <w:bCs/>
          <w:color w:val="BF5A14"/>
          <w:sz w:val="19"/>
          <w:szCs w:val="19"/>
        </w:rPr>
        <w:t>References</w:t>
      </w:r>
    </w:p>
    <w:p w14:paraId="56EC708B" w14:textId="77777777" w:rsidR="00EC2D80" w:rsidRDefault="00EC2D80" w:rsidP="00EC2D80">
      <w:pPr>
        <w:pStyle w:val="ListParagraph"/>
        <w:numPr>
          <w:ilvl w:val="0"/>
          <w:numId w:val="3"/>
        </w:numPr>
        <w:tabs>
          <w:tab w:val="left" w:pos="567"/>
        </w:tabs>
        <w:spacing w:after="0" w:line="240" w:lineRule="auto"/>
        <w:rPr>
          <w:rFonts w:ascii="Times New Roman" w:eastAsia="Times New Roman" w:hAnsi="Times New Roman" w:cs="Times New Roman"/>
          <w:sz w:val="20"/>
          <w:szCs w:val="20"/>
        </w:rPr>
      </w:pPr>
      <w:r w:rsidRPr="0008122D">
        <w:rPr>
          <w:rFonts w:ascii="Times New Roman" w:eastAsia="Times New Roman" w:hAnsi="Times New Roman" w:cs="Times New Roman"/>
          <w:sz w:val="20"/>
          <w:szCs w:val="20"/>
        </w:rPr>
        <w:t>Harrington BE, Schmitt AM. Meningeal (postdural) puncture headache, unintentional dural puncture, and the</w:t>
      </w:r>
      <w:r>
        <w:rPr>
          <w:rFonts w:ascii="Times New Roman" w:eastAsia="Times New Roman" w:hAnsi="Times New Roman" w:cs="Times New Roman"/>
          <w:sz w:val="20"/>
          <w:szCs w:val="20"/>
        </w:rPr>
        <w:t xml:space="preserve"> </w:t>
      </w:r>
      <w:r w:rsidRPr="0008122D">
        <w:rPr>
          <w:rFonts w:ascii="Times New Roman" w:eastAsia="Times New Roman" w:hAnsi="Times New Roman" w:cs="Times New Roman"/>
          <w:sz w:val="20"/>
          <w:szCs w:val="20"/>
        </w:rPr>
        <w:t xml:space="preserve">epidural blood patch: a national survey of United States practice. Reg </w:t>
      </w:r>
      <w:proofErr w:type="spellStart"/>
      <w:r w:rsidRPr="0008122D">
        <w:rPr>
          <w:rFonts w:ascii="Times New Roman" w:eastAsia="Times New Roman" w:hAnsi="Times New Roman" w:cs="Times New Roman"/>
          <w:sz w:val="20"/>
          <w:szCs w:val="20"/>
        </w:rPr>
        <w:t>Anesth</w:t>
      </w:r>
      <w:proofErr w:type="spellEnd"/>
      <w:r w:rsidRPr="0008122D">
        <w:rPr>
          <w:rFonts w:ascii="Times New Roman" w:eastAsia="Times New Roman" w:hAnsi="Times New Roman" w:cs="Times New Roman"/>
          <w:sz w:val="20"/>
          <w:szCs w:val="20"/>
        </w:rPr>
        <w:t xml:space="preserve"> Pain Med. 2009 Sep-Oct;34(5):430-7. </w:t>
      </w:r>
      <w:proofErr w:type="spellStart"/>
      <w:r w:rsidRPr="0008122D">
        <w:rPr>
          <w:rFonts w:ascii="Times New Roman" w:eastAsia="Times New Roman" w:hAnsi="Times New Roman" w:cs="Times New Roman"/>
          <w:sz w:val="20"/>
          <w:szCs w:val="20"/>
        </w:rPr>
        <w:t>doi</w:t>
      </w:r>
      <w:proofErr w:type="spellEnd"/>
      <w:r w:rsidRPr="0008122D">
        <w:rPr>
          <w:rFonts w:ascii="Times New Roman" w:eastAsia="Times New Roman" w:hAnsi="Times New Roman" w:cs="Times New Roman"/>
          <w:sz w:val="20"/>
          <w:szCs w:val="20"/>
        </w:rPr>
        <w:t>: 10.1097/AAP.0b013e3181b493e9. PMID: 19749586.</w:t>
      </w:r>
    </w:p>
    <w:p w14:paraId="47A67317" w14:textId="77777777" w:rsidR="00EC2D80" w:rsidRDefault="00EC2D80" w:rsidP="00EC2D80">
      <w:pPr>
        <w:pStyle w:val="ListParagraph"/>
        <w:numPr>
          <w:ilvl w:val="0"/>
          <w:numId w:val="3"/>
        </w:numPr>
        <w:tabs>
          <w:tab w:val="left" w:pos="567"/>
        </w:tabs>
        <w:spacing w:after="0" w:line="240" w:lineRule="auto"/>
        <w:rPr>
          <w:rFonts w:ascii="Times New Roman" w:eastAsia="Times New Roman" w:hAnsi="Times New Roman" w:cs="Times New Roman"/>
          <w:sz w:val="20"/>
          <w:szCs w:val="20"/>
        </w:rPr>
      </w:pPr>
      <w:r w:rsidRPr="00BF54C3">
        <w:rPr>
          <w:rFonts w:ascii="Times New Roman" w:eastAsia="Times New Roman" w:hAnsi="Times New Roman" w:cs="Times New Roman"/>
          <w:sz w:val="20"/>
          <w:szCs w:val="20"/>
        </w:rPr>
        <w:t xml:space="preserve">van Kooten F, </w:t>
      </w:r>
      <w:proofErr w:type="spellStart"/>
      <w:r w:rsidRPr="00BF54C3">
        <w:rPr>
          <w:rFonts w:ascii="Times New Roman" w:eastAsia="Times New Roman" w:hAnsi="Times New Roman" w:cs="Times New Roman"/>
          <w:sz w:val="20"/>
          <w:szCs w:val="20"/>
        </w:rPr>
        <w:t>Oedit</w:t>
      </w:r>
      <w:proofErr w:type="spellEnd"/>
      <w:r w:rsidRPr="00BF54C3">
        <w:rPr>
          <w:rFonts w:ascii="Times New Roman" w:eastAsia="Times New Roman" w:hAnsi="Times New Roman" w:cs="Times New Roman"/>
          <w:sz w:val="20"/>
          <w:szCs w:val="20"/>
        </w:rPr>
        <w:t xml:space="preserve"> R, Bakker SL, Dippel DW. Epidural blood patch in post dural puncture headache: a </w:t>
      </w:r>
      <w:proofErr w:type="spellStart"/>
      <w:r w:rsidRPr="00BF54C3">
        <w:rPr>
          <w:rFonts w:ascii="Times New Roman" w:eastAsia="Times New Roman" w:hAnsi="Times New Roman" w:cs="Times New Roman"/>
          <w:sz w:val="20"/>
          <w:szCs w:val="20"/>
        </w:rPr>
        <w:t>randomised</w:t>
      </w:r>
      <w:proofErr w:type="spellEnd"/>
      <w:r w:rsidRPr="00BF54C3">
        <w:rPr>
          <w:rFonts w:ascii="Times New Roman" w:eastAsia="Times New Roman" w:hAnsi="Times New Roman" w:cs="Times New Roman"/>
          <w:sz w:val="20"/>
          <w:szCs w:val="20"/>
        </w:rPr>
        <w:t xml:space="preserve">, observer-blind, controlled clinical trial. J Neurol </w:t>
      </w:r>
      <w:proofErr w:type="spellStart"/>
      <w:r w:rsidRPr="00BF54C3">
        <w:rPr>
          <w:rFonts w:ascii="Times New Roman" w:eastAsia="Times New Roman" w:hAnsi="Times New Roman" w:cs="Times New Roman"/>
          <w:sz w:val="20"/>
          <w:szCs w:val="20"/>
        </w:rPr>
        <w:t>Neurosurg</w:t>
      </w:r>
      <w:proofErr w:type="spellEnd"/>
      <w:r w:rsidRPr="00BF54C3">
        <w:rPr>
          <w:rFonts w:ascii="Times New Roman" w:eastAsia="Times New Roman" w:hAnsi="Times New Roman" w:cs="Times New Roman"/>
          <w:sz w:val="20"/>
          <w:szCs w:val="20"/>
        </w:rPr>
        <w:t xml:space="preserve"> Psychiatry. 2008 May;79(5):553-8. </w:t>
      </w:r>
      <w:proofErr w:type="spellStart"/>
      <w:r w:rsidRPr="00BF54C3">
        <w:rPr>
          <w:rFonts w:ascii="Times New Roman" w:eastAsia="Times New Roman" w:hAnsi="Times New Roman" w:cs="Times New Roman"/>
          <w:sz w:val="20"/>
          <w:szCs w:val="20"/>
        </w:rPr>
        <w:t>doi</w:t>
      </w:r>
      <w:proofErr w:type="spellEnd"/>
      <w:r w:rsidRPr="00BF54C3">
        <w:rPr>
          <w:rFonts w:ascii="Times New Roman" w:eastAsia="Times New Roman" w:hAnsi="Times New Roman" w:cs="Times New Roman"/>
          <w:sz w:val="20"/>
          <w:szCs w:val="20"/>
        </w:rPr>
        <w:t xml:space="preserve">: 10.1136/jnnp.2007.122879. </w:t>
      </w:r>
      <w:proofErr w:type="spellStart"/>
      <w:r w:rsidRPr="00BF54C3">
        <w:rPr>
          <w:rFonts w:ascii="Times New Roman" w:eastAsia="Times New Roman" w:hAnsi="Times New Roman" w:cs="Times New Roman"/>
          <w:sz w:val="20"/>
          <w:szCs w:val="20"/>
        </w:rPr>
        <w:t>Epub</w:t>
      </w:r>
      <w:proofErr w:type="spellEnd"/>
      <w:r w:rsidRPr="00BF54C3">
        <w:rPr>
          <w:rFonts w:ascii="Times New Roman" w:eastAsia="Times New Roman" w:hAnsi="Times New Roman" w:cs="Times New Roman"/>
          <w:sz w:val="20"/>
          <w:szCs w:val="20"/>
        </w:rPr>
        <w:t xml:space="preserve"> 2007 Jul 17. PMID: 17635971.</w:t>
      </w:r>
    </w:p>
    <w:p w14:paraId="579A1717" w14:textId="77777777" w:rsidR="00EC2D80" w:rsidRDefault="00EC2D80" w:rsidP="00EC2D80">
      <w:pPr>
        <w:pStyle w:val="ListParagraph"/>
        <w:numPr>
          <w:ilvl w:val="0"/>
          <w:numId w:val="3"/>
        </w:numPr>
        <w:tabs>
          <w:tab w:val="left" w:pos="567"/>
        </w:tabs>
        <w:spacing w:after="0" w:line="240" w:lineRule="auto"/>
        <w:rPr>
          <w:rFonts w:ascii="Times New Roman" w:eastAsia="Times New Roman" w:hAnsi="Times New Roman" w:cs="Times New Roman"/>
          <w:sz w:val="20"/>
          <w:szCs w:val="20"/>
        </w:rPr>
      </w:pPr>
      <w:r w:rsidRPr="005B014D">
        <w:rPr>
          <w:rFonts w:ascii="Times New Roman" w:eastAsia="Times New Roman" w:hAnsi="Times New Roman" w:cs="Times New Roman"/>
          <w:sz w:val="20"/>
          <w:szCs w:val="20"/>
        </w:rPr>
        <w:t xml:space="preserve">Choi PT, Galinski SE, Takeuchi L, Lucas S, Tamayo C, Jadad AR. PDPH is a common complication of neuraxial blockade in parturients: a meta-analysis of obstetrical studies. Can J </w:t>
      </w:r>
      <w:proofErr w:type="spellStart"/>
      <w:r w:rsidRPr="005B014D">
        <w:rPr>
          <w:rFonts w:ascii="Times New Roman" w:eastAsia="Times New Roman" w:hAnsi="Times New Roman" w:cs="Times New Roman"/>
          <w:sz w:val="20"/>
          <w:szCs w:val="20"/>
        </w:rPr>
        <w:t>Anaesth</w:t>
      </w:r>
      <w:proofErr w:type="spellEnd"/>
      <w:r w:rsidRPr="005B014D">
        <w:rPr>
          <w:rFonts w:ascii="Times New Roman" w:eastAsia="Times New Roman" w:hAnsi="Times New Roman" w:cs="Times New Roman"/>
          <w:sz w:val="20"/>
          <w:szCs w:val="20"/>
        </w:rPr>
        <w:t xml:space="preserve">. 2003 May;50(5):460-9. </w:t>
      </w:r>
      <w:proofErr w:type="spellStart"/>
      <w:r w:rsidRPr="005B014D">
        <w:rPr>
          <w:rFonts w:ascii="Times New Roman" w:eastAsia="Times New Roman" w:hAnsi="Times New Roman" w:cs="Times New Roman"/>
          <w:sz w:val="20"/>
          <w:szCs w:val="20"/>
        </w:rPr>
        <w:t>doi</w:t>
      </w:r>
      <w:proofErr w:type="spellEnd"/>
      <w:r w:rsidRPr="005B014D">
        <w:rPr>
          <w:rFonts w:ascii="Times New Roman" w:eastAsia="Times New Roman" w:hAnsi="Times New Roman" w:cs="Times New Roman"/>
          <w:sz w:val="20"/>
          <w:szCs w:val="20"/>
        </w:rPr>
        <w:t>: 10.1007/BF03021057. PMID: 12734154.</w:t>
      </w:r>
    </w:p>
    <w:p w14:paraId="036F7C8C" w14:textId="77777777" w:rsidR="00EC2D80" w:rsidRPr="00647FDB" w:rsidRDefault="00EC2D80" w:rsidP="00EC2D80">
      <w:pPr>
        <w:pStyle w:val="ListParagraph"/>
        <w:tabs>
          <w:tab w:val="left" w:pos="567"/>
        </w:tabs>
        <w:spacing w:after="0" w:line="240" w:lineRule="auto"/>
        <w:ind w:left="920"/>
        <w:rPr>
          <w:rFonts w:ascii="Times New Roman" w:eastAsia="Times New Roman" w:hAnsi="Times New Roman" w:cs="Times New Roman"/>
          <w:sz w:val="20"/>
          <w:szCs w:val="20"/>
        </w:rPr>
      </w:pPr>
    </w:p>
    <w:p w14:paraId="6786F444" w14:textId="33B9C96B" w:rsidR="001D2922" w:rsidRDefault="10E402B0" w:rsidP="5FA80AAB">
      <w:pPr>
        <w:widowControl w:val="0"/>
        <w:spacing w:line="40" w:lineRule="exact"/>
        <w:ind w:left="2202"/>
        <w:rPr>
          <w:rFonts w:ascii="Calibri" w:eastAsia="Calibri" w:hAnsi="Calibri" w:cs="Calibri"/>
          <w:color w:val="000000" w:themeColor="text1"/>
          <w:sz w:val="12"/>
          <w:szCs w:val="12"/>
        </w:rPr>
      </w:pPr>
      <w:r>
        <w:rPr>
          <w:noProof/>
        </w:rPr>
        <w:drawing>
          <wp:inline distT="0" distB="0" distL="0" distR="0" wp14:anchorId="3FB4F1F7" wp14:editId="5BC95E7B">
            <wp:extent cx="3981450" cy="38100"/>
            <wp:effectExtent l="0" t="0" r="0" b="0"/>
            <wp:docPr id="1981026355" name="Picture 1981026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extLst>
                        <a:ext uri="{28A0092B-C50C-407E-A947-70E740481C1C}">
                          <a14:useLocalDpi xmlns:a14="http://schemas.microsoft.com/office/drawing/2010/main" val="0"/>
                        </a:ext>
                      </a:extLst>
                    </a:blip>
                    <a:stretch>
                      <a:fillRect/>
                    </a:stretch>
                  </pic:blipFill>
                  <pic:spPr>
                    <a:xfrm>
                      <a:off x="0" y="0"/>
                      <a:ext cx="3981450" cy="38100"/>
                    </a:xfrm>
                    <a:prstGeom prst="rect">
                      <a:avLst/>
                    </a:prstGeom>
                  </pic:spPr>
                </pic:pic>
              </a:graphicData>
            </a:graphic>
          </wp:inline>
        </w:drawing>
      </w:r>
    </w:p>
    <w:p w14:paraId="2928EA48" w14:textId="036AA0BA" w:rsidR="001D2922" w:rsidRDefault="10E402B0" w:rsidP="5FA80AAB">
      <w:pPr>
        <w:widowControl w:val="0"/>
        <w:spacing w:before="92"/>
        <w:ind w:right="4234"/>
        <w:rPr>
          <w:rFonts w:ascii="Times New Roman" w:eastAsia="Times New Roman" w:hAnsi="Times New Roman" w:cs="Times New Roman"/>
          <w:color w:val="000000" w:themeColor="text1"/>
          <w:sz w:val="24"/>
          <w:szCs w:val="24"/>
        </w:rPr>
      </w:pPr>
      <w:r w:rsidRPr="5FA80AAB">
        <w:rPr>
          <w:rFonts w:ascii="Tw Cen MT" w:eastAsia="Tw Cen MT" w:hAnsi="Tw Cen MT" w:cs="Tw Cen MT"/>
          <w:color w:val="000000" w:themeColor="text1"/>
        </w:rPr>
        <w:t xml:space="preserve">              </w:t>
      </w:r>
      <w:r w:rsidR="1AE59063">
        <w:rPr>
          <w:noProof/>
        </w:rPr>
        <w:drawing>
          <wp:inline distT="0" distB="0" distL="0" distR="0" wp14:anchorId="585B87F9" wp14:editId="19A06B82">
            <wp:extent cx="791212" cy="857250"/>
            <wp:effectExtent l="0" t="0" r="8890" b="0"/>
            <wp:docPr id="601695140" name="Picture 601695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cstate="print">
                      <a:extLst>
                        <a:ext uri="{28A0092B-C50C-407E-A947-70E740481C1C}">
                          <a14:useLocalDpi xmlns:a14="http://schemas.microsoft.com/office/drawing/2010/main" val="0"/>
                        </a:ext>
                      </a:extLst>
                    </a:blip>
                    <a:stretch>
                      <a:fillRect/>
                    </a:stretch>
                  </pic:blipFill>
                  <pic:spPr>
                    <a:xfrm>
                      <a:off x="0" y="0"/>
                      <a:ext cx="797129" cy="863661"/>
                    </a:xfrm>
                    <a:prstGeom prst="rect">
                      <a:avLst/>
                    </a:prstGeom>
                  </pic:spPr>
                </pic:pic>
              </a:graphicData>
            </a:graphic>
          </wp:inline>
        </w:drawing>
      </w:r>
      <w:r w:rsidRPr="5FA80AAB">
        <w:rPr>
          <w:rFonts w:ascii="Tw Cen MT" w:eastAsia="Tw Cen MT" w:hAnsi="Tw Cen MT" w:cs="Tw Cen MT"/>
          <w:color w:val="000000" w:themeColor="text1"/>
        </w:rPr>
        <w:t xml:space="preserve">Biography </w:t>
      </w:r>
    </w:p>
    <w:p w14:paraId="671E52DE" w14:textId="1D05AC8B" w:rsidR="001D2922" w:rsidRDefault="10E402B0" w:rsidP="5FA80AAB">
      <w:pPr>
        <w:widowControl w:val="0"/>
        <w:spacing w:before="41" w:line="240" w:lineRule="exact"/>
        <w:ind w:left="213" w:right="231"/>
        <w:jc w:val="both"/>
        <w:rPr>
          <w:rFonts w:ascii="Arial" w:eastAsia="Arial" w:hAnsi="Arial" w:cs="Arial"/>
          <w:color w:val="000000" w:themeColor="text1"/>
          <w:sz w:val="13"/>
          <w:szCs w:val="13"/>
        </w:rPr>
      </w:pPr>
      <w:r w:rsidRPr="5FA80AAB">
        <w:rPr>
          <w:rFonts w:ascii="Arial" w:eastAsia="Arial" w:hAnsi="Arial" w:cs="Arial"/>
          <w:color w:val="000000" w:themeColor="text1"/>
          <w:sz w:val="13"/>
          <w:szCs w:val="13"/>
        </w:rPr>
        <w:t xml:space="preserve">Abuzar Baloach is a current PGY4 Anesthesia resident at the Mayo Clinic in Jacksonville, Florida. He is going to be pursuing his Interventional Pain Medicine fellowship at the University of Arizona in Tucson, Arizona in 2024. His </w:t>
      </w:r>
      <w:r w:rsidR="2CA226A1" w:rsidRPr="5FA80AAB">
        <w:rPr>
          <w:rFonts w:ascii="Arial" w:eastAsia="Arial" w:hAnsi="Arial" w:cs="Arial"/>
          <w:color w:val="000000" w:themeColor="text1"/>
          <w:sz w:val="13"/>
          <w:szCs w:val="13"/>
        </w:rPr>
        <w:t>career interests include using ultrasound guidance for pain management procedures, medical</w:t>
      </w:r>
      <w:r w:rsidR="4A997E6B" w:rsidRPr="5FA80AAB">
        <w:rPr>
          <w:rFonts w:ascii="Arial" w:eastAsia="Arial" w:hAnsi="Arial" w:cs="Arial"/>
          <w:color w:val="000000" w:themeColor="text1"/>
          <w:sz w:val="13"/>
          <w:szCs w:val="13"/>
        </w:rPr>
        <w:t xml:space="preserve"> management of chronic pain, and acute pain management. </w:t>
      </w:r>
    </w:p>
    <w:p w14:paraId="5A1E3805" w14:textId="6CC0D36D" w:rsidR="001D2922" w:rsidRDefault="10E402B0" w:rsidP="5FA80AAB">
      <w:pPr>
        <w:widowControl w:val="0"/>
        <w:spacing w:before="62"/>
        <w:ind w:left="4217" w:right="4235"/>
        <w:jc w:val="center"/>
        <w:rPr>
          <w:rFonts w:ascii="Arial" w:eastAsia="Arial" w:hAnsi="Arial" w:cs="Arial"/>
          <w:color w:val="000000" w:themeColor="text1"/>
          <w:sz w:val="13"/>
          <w:szCs w:val="13"/>
        </w:rPr>
      </w:pPr>
      <w:r w:rsidRPr="5FA80AAB">
        <w:rPr>
          <w:rFonts w:ascii="Arial" w:eastAsia="Arial" w:hAnsi="Arial" w:cs="Arial"/>
          <w:color w:val="000000" w:themeColor="text1"/>
          <w:sz w:val="13"/>
          <w:szCs w:val="13"/>
        </w:rPr>
        <w:t xml:space="preserve">Email: </w:t>
      </w:r>
      <w:r w:rsidRPr="5FA80AAB">
        <w:rPr>
          <w:rFonts w:ascii="Arial" w:eastAsia="Arial" w:hAnsi="Arial" w:cs="Arial"/>
          <w:sz w:val="13"/>
          <w:szCs w:val="13"/>
        </w:rPr>
        <w:t>baloach.abuzar@mayo.edu</w:t>
      </w:r>
    </w:p>
    <w:p w14:paraId="6EAE13E8" w14:textId="2D8A0D82" w:rsidR="001D2922" w:rsidRDefault="10E402B0" w:rsidP="5FA80AAB">
      <w:pPr>
        <w:widowControl w:val="0"/>
        <w:spacing w:before="2"/>
        <w:rPr>
          <w:rFonts w:ascii="Arial" w:eastAsia="Arial" w:hAnsi="Arial" w:cs="Arial"/>
          <w:color w:val="000000" w:themeColor="text1"/>
          <w:sz w:val="19"/>
          <w:szCs w:val="19"/>
        </w:rPr>
      </w:pPr>
      <w:r>
        <w:rPr>
          <w:noProof/>
        </w:rPr>
        <w:drawing>
          <wp:inline distT="0" distB="0" distL="0" distR="0" wp14:anchorId="210ECD7A" wp14:editId="3C72EC5A">
            <wp:extent cx="9525" cy="9525"/>
            <wp:effectExtent l="0" t="0" r="0" b="0"/>
            <wp:docPr id="2070603406" name="Picture 2070603406" descr="Sha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14:paraId="393C799F" w14:textId="4168A587" w:rsidR="001D2922" w:rsidRDefault="10E402B0" w:rsidP="5FA80AAB">
      <w:pPr>
        <w:widowControl w:val="0"/>
        <w:rPr>
          <w:rFonts w:ascii="Tw Cen MT" w:eastAsia="Tw Cen MT" w:hAnsi="Tw Cen MT" w:cs="Tw Cen MT"/>
          <w:b/>
          <w:bCs/>
          <w:color w:val="000000" w:themeColor="text1"/>
          <w:sz w:val="19"/>
          <w:szCs w:val="19"/>
          <w:lang w:val="en-NZ"/>
        </w:rPr>
      </w:pPr>
      <w:r w:rsidRPr="5FA80AAB">
        <w:rPr>
          <w:rFonts w:ascii="Tw Cen MT" w:eastAsia="Tw Cen MT" w:hAnsi="Tw Cen MT" w:cs="Tw Cen MT"/>
          <w:b/>
          <w:bCs/>
          <w:color w:val="000000" w:themeColor="text1"/>
          <w:sz w:val="19"/>
          <w:szCs w:val="19"/>
          <w:lang w:val="en-NZ"/>
        </w:rPr>
        <w:lastRenderedPageBreak/>
        <w:t xml:space="preserve">Presenting author details </w:t>
      </w:r>
      <w:r w:rsidR="00EC2D80">
        <w:br/>
      </w:r>
      <w:r w:rsidRPr="5FA80AAB">
        <w:rPr>
          <w:rFonts w:ascii="Tw Cen MT" w:eastAsia="Tw Cen MT" w:hAnsi="Tw Cen MT" w:cs="Tw Cen MT"/>
          <w:b/>
          <w:bCs/>
          <w:color w:val="000000" w:themeColor="text1"/>
          <w:sz w:val="19"/>
          <w:szCs w:val="19"/>
          <w:lang w:val="en-NZ"/>
        </w:rPr>
        <w:t>Full name: Abuzar Baloach</w:t>
      </w:r>
      <w:r w:rsidR="00EC2D80">
        <w:tab/>
      </w:r>
      <w:r w:rsidR="00EC2D80">
        <w:br/>
      </w:r>
      <w:r w:rsidRPr="5FA80AAB">
        <w:rPr>
          <w:rFonts w:ascii="Tw Cen MT" w:eastAsia="Tw Cen MT" w:hAnsi="Tw Cen MT" w:cs="Tw Cen MT"/>
          <w:b/>
          <w:bCs/>
          <w:color w:val="000000" w:themeColor="text1"/>
          <w:sz w:val="19"/>
          <w:szCs w:val="19"/>
          <w:lang w:val="en-NZ"/>
        </w:rPr>
        <w:t>Contact number:</w:t>
      </w:r>
      <w:r w:rsidR="00A9752B">
        <w:rPr>
          <w:rFonts w:ascii="Tw Cen MT" w:eastAsia="Tw Cen MT" w:hAnsi="Tw Cen MT" w:cs="Tw Cen MT"/>
          <w:b/>
          <w:bCs/>
          <w:color w:val="000000" w:themeColor="text1"/>
          <w:sz w:val="19"/>
          <w:szCs w:val="19"/>
          <w:lang w:val="en-NZ"/>
        </w:rPr>
        <w:t xml:space="preserve"> 4074375722</w:t>
      </w:r>
      <w:r w:rsidR="00EC2D80">
        <w:br/>
      </w:r>
    </w:p>
    <w:p w14:paraId="2C078E63" w14:textId="16ABB446" w:rsidR="001D2922" w:rsidRDefault="10E402B0" w:rsidP="5FA80AAB">
      <w:pPr>
        <w:rPr>
          <w:rFonts w:ascii="Tw Cen MT" w:eastAsia="Tw Cen MT" w:hAnsi="Tw Cen MT" w:cs="Tw Cen MT"/>
          <w:color w:val="000000" w:themeColor="text1"/>
          <w:sz w:val="19"/>
          <w:szCs w:val="19"/>
          <w:lang w:val="en-NZ"/>
        </w:rPr>
      </w:pPr>
      <w:r w:rsidRPr="5FA80AAB">
        <w:rPr>
          <w:rFonts w:ascii="Tw Cen MT" w:eastAsia="Tw Cen MT" w:hAnsi="Tw Cen MT" w:cs="Tw Cen MT"/>
          <w:color w:val="000000" w:themeColor="text1"/>
          <w:sz w:val="19"/>
          <w:szCs w:val="19"/>
          <w:lang w:val="en-NZ"/>
        </w:rPr>
        <w:t xml:space="preserve">Session name/ number: </w:t>
      </w:r>
      <w:r w:rsidR="00EC2D80">
        <w:br/>
      </w:r>
      <w:r w:rsidRPr="5FA80AAB">
        <w:rPr>
          <w:rFonts w:ascii="Tw Cen MT" w:eastAsia="Tw Cen MT" w:hAnsi="Tw Cen MT" w:cs="Tw Cen MT"/>
          <w:color w:val="000000" w:themeColor="text1"/>
          <w:sz w:val="19"/>
          <w:szCs w:val="19"/>
          <w:lang w:val="en-NZ"/>
        </w:rPr>
        <w:t>Category: (Poster presentation)</w:t>
      </w:r>
    </w:p>
    <w:sectPr w:rsidR="001D292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E924D8"/>
    <w:multiLevelType w:val="hybridMultilevel"/>
    <w:tmpl w:val="68503676"/>
    <w:lvl w:ilvl="0" w:tplc="EFF4E5E0">
      <w:start w:val="1"/>
      <w:numFmt w:val="decimal"/>
      <w:lvlText w:val="%1."/>
      <w:lvlJc w:val="left"/>
      <w:pPr>
        <w:ind w:left="920" w:hanging="5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F88ACC5"/>
    <w:multiLevelType w:val="hybridMultilevel"/>
    <w:tmpl w:val="A93C17C8"/>
    <w:lvl w:ilvl="0" w:tplc="C972B37C">
      <w:start w:val="1"/>
      <w:numFmt w:val="decimal"/>
      <w:lvlText w:val="%1."/>
      <w:lvlJc w:val="left"/>
      <w:pPr>
        <w:ind w:left="720" w:hanging="360"/>
      </w:pPr>
    </w:lvl>
    <w:lvl w:ilvl="1" w:tplc="546291F0">
      <w:start w:val="1"/>
      <w:numFmt w:val="lowerLetter"/>
      <w:lvlText w:val="%2."/>
      <w:lvlJc w:val="left"/>
      <w:pPr>
        <w:ind w:left="1440" w:hanging="360"/>
      </w:pPr>
    </w:lvl>
    <w:lvl w:ilvl="2" w:tplc="131EE588">
      <w:start w:val="1"/>
      <w:numFmt w:val="lowerRoman"/>
      <w:lvlText w:val="%3."/>
      <w:lvlJc w:val="right"/>
      <w:pPr>
        <w:ind w:left="2160" w:hanging="180"/>
      </w:pPr>
    </w:lvl>
    <w:lvl w:ilvl="3" w:tplc="2416CE76">
      <w:start w:val="1"/>
      <w:numFmt w:val="decimal"/>
      <w:lvlText w:val="%4."/>
      <w:lvlJc w:val="left"/>
      <w:pPr>
        <w:ind w:left="2880" w:hanging="360"/>
      </w:pPr>
    </w:lvl>
    <w:lvl w:ilvl="4" w:tplc="0F906F8E">
      <w:start w:val="1"/>
      <w:numFmt w:val="lowerLetter"/>
      <w:lvlText w:val="%5."/>
      <w:lvlJc w:val="left"/>
      <w:pPr>
        <w:ind w:left="3600" w:hanging="360"/>
      </w:pPr>
    </w:lvl>
    <w:lvl w:ilvl="5" w:tplc="1FE84856">
      <w:start w:val="1"/>
      <w:numFmt w:val="lowerRoman"/>
      <w:lvlText w:val="%6."/>
      <w:lvlJc w:val="right"/>
      <w:pPr>
        <w:ind w:left="4320" w:hanging="180"/>
      </w:pPr>
    </w:lvl>
    <w:lvl w:ilvl="6" w:tplc="997A75FC">
      <w:start w:val="1"/>
      <w:numFmt w:val="decimal"/>
      <w:lvlText w:val="%7."/>
      <w:lvlJc w:val="left"/>
      <w:pPr>
        <w:ind w:left="5040" w:hanging="360"/>
      </w:pPr>
    </w:lvl>
    <w:lvl w:ilvl="7" w:tplc="A62EA08E">
      <w:start w:val="1"/>
      <w:numFmt w:val="lowerLetter"/>
      <w:lvlText w:val="%8."/>
      <w:lvlJc w:val="left"/>
      <w:pPr>
        <w:ind w:left="5760" w:hanging="360"/>
      </w:pPr>
    </w:lvl>
    <w:lvl w:ilvl="8" w:tplc="E97A6ADE">
      <w:start w:val="1"/>
      <w:numFmt w:val="lowerRoman"/>
      <w:lvlText w:val="%9."/>
      <w:lvlJc w:val="right"/>
      <w:pPr>
        <w:ind w:left="6480" w:hanging="180"/>
      </w:pPr>
    </w:lvl>
  </w:abstractNum>
  <w:abstractNum w:abstractNumId="2" w15:restartNumberingAfterBreak="0">
    <w:nsid w:val="2FF7C101"/>
    <w:multiLevelType w:val="hybridMultilevel"/>
    <w:tmpl w:val="C8DC158E"/>
    <w:lvl w:ilvl="0" w:tplc="7048F21A">
      <w:start w:val="1"/>
      <w:numFmt w:val="bullet"/>
      <w:lvlText w:val=""/>
      <w:lvlJc w:val="left"/>
      <w:pPr>
        <w:ind w:left="720" w:hanging="360"/>
      </w:pPr>
      <w:rPr>
        <w:rFonts w:ascii="Symbol" w:hAnsi="Symbol" w:hint="default"/>
      </w:rPr>
    </w:lvl>
    <w:lvl w:ilvl="1" w:tplc="926E25EE">
      <w:start w:val="1"/>
      <w:numFmt w:val="bullet"/>
      <w:lvlText w:val=""/>
      <w:lvlJc w:val="left"/>
      <w:pPr>
        <w:ind w:left="1440" w:hanging="360"/>
      </w:pPr>
      <w:rPr>
        <w:rFonts w:ascii="Symbol" w:hAnsi="Symbol" w:hint="default"/>
      </w:rPr>
    </w:lvl>
    <w:lvl w:ilvl="2" w:tplc="A6906438">
      <w:start w:val="1"/>
      <w:numFmt w:val="bullet"/>
      <w:lvlText w:val=""/>
      <w:lvlJc w:val="left"/>
      <w:pPr>
        <w:ind w:left="2160" w:hanging="360"/>
      </w:pPr>
      <w:rPr>
        <w:rFonts w:ascii="Wingdings" w:hAnsi="Wingdings" w:hint="default"/>
      </w:rPr>
    </w:lvl>
    <w:lvl w:ilvl="3" w:tplc="37982904">
      <w:start w:val="1"/>
      <w:numFmt w:val="bullet"/>
      <w:lvlText w:val=""/>
      <w:lvlJc w:val="left"/>
      <w:pPr>
        <w:ind w:left="2880" w:hanging="360"/>
      </w:pPr>
      <w:rPr>
        <w:rFonts w:ascii="Symbol" w:hAnsi="Symbol" w:hint="default"/>
      </w:rPr>
    </w:lvl>
    <w:lvl w:ilvl="4" w:tplc="E648E3D2">
      <w:start w:val="1"/>
      <w:numFmt w:val="bullet"/>
      <w:lvlText w:val="o"/>
      <w:lvlJc w:val="left"/>
      <w:pPr>
        <w:ind w:left="3600" w:hanging="360"/>
      </w:pPr>
      <w:rPr>
        <w:rFonts w:ascii="Courier New" w:hAnsi="Courier New" w:hint="default"/>
      </w:rPr>
    </w:lvl>
    <w:lvl w:ilvl="5" w:tplc="79FE9078">
      <w:start w:val="1"/>
      <w:numFmt w:val="bullet"/>
      <w:lvlText w:val=""/>
      <w:lvlJc w:val="left"/>
      <w:pPr>
        <w:ind w:left="4320" w:hanging="360"/>
      </w:pPr>
      <w:rPr>
        <w:rFonts w:ascii="Wingdings" w:hAnsi="Wingdings" w:hint="default"/>
      </w:rPr>
    </w:lvl>
    <w:lvl w:ilvl="6" w:tplc="C666BBE2">
      <w:start w:val="1"/>
      <w:numFmt w:val="bullet"/>
      <w:lvlText w:val=""/>
      <w:lvlJc w:val="left"/>
      <w:pPr>
        <w:ind w:left="5040" w:hanging="360"/>
      </w:pPr>
      <w:rPr>
        <w:rFonts w:ascii="Symbol" w:hAnsi="Symbol" w:hint="default"/>
      </w:rPr>
    </w:lvl>
    <w:lvl w:ilvl="7" w:tplc="7B2E2E3C">
      <w:start w:val="1"/>
      <w:numFmt w:val="bullet"/>
      <w:lvlText w:val="o"/>
      <w:lvlJc w:val="left"/>
      <w:pPr>
        <w:ind w:left="5760" w:hanging="360"/>
      </w:pPr>
      <w:rPr>
        <w:rFonts w:ascii="Courier New" w:hAnsi="Courier New" w:hint="default"/>
      </w:rPr>
    </w:lvl>
    <w:lvl w:ilvl="8" w:tplc="3FB8E498">
      <w:start w:val="1"/>
      <w:numFmt w:val="bullet"/>
      <w:lvlText w:val=""/>
      <w:lvlJc w:val="left"/>
      <w:pPr>
        <w:ind w:left="6480" w:hanging="360"/>
      </w:pPr>
      <w:rPr>
        <w:rFonts w:ascii="Wingdings" w:hAnsi="Wingdings" w:hint="default"/>
      </w:rPr>
    </w:lvl>
  </w:abstractNum>
  <w:num w:numId="1" w16cid:durableId="2037265751">
    <w:abstractNumId w:val="2"/>
  </w:num>
  <w:num w:numId="2" w16cid:durableId="828249068">
    <w:abstractNumId w:val="1"/>
  </w:num>
  <w:num w:numId="3" w16cid:durableId="18926460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7A9227E"/>
    <w:rsid w:val="00067140"/>
    <w:rsid w:val="001D2922"/>
    <w:rsid w:val="002F1AEA"/>
    <w:rsid w:val="003B1F69"/>
    <w:rsid w:val="004D4D91"/>
    <w:rsid w:val="00626BD4"/>
    <w:rsid w:val="00814754"/>
    <w:rsid w:val="00A9752B"/>
    <w:rsid w:val="00EC2D80"/>
    <w:rsid w:val="00FD0827"/>
    <w:rsid w:val="0141CD21"/>
    <w:rsid w:val="0252AABD"/>
    <w:rsid w:val="047C6355"/>
    <w:rsid w:val="08443873"/>
    <w:rsid w:val="09B1BDBD"/>
    <w:rsid w:val="0CA987F7"/>
    <w:rsid w:val="0E455858"/>
    <w:rsid w:val="10E402B0"/>
    <w:rsid w:val="158746EC"/>
    <w:rsid w:val="1AE59063"/>
    <w:rsid w:val="1E572E41"/>
    <w:rsid w:val="2111BDA1"/>
    <w:rsid w:val="2293C490"/>
    <w:rsid w:val="2CA226A1"/>
    <w:rsid w:val="2CFE1248"/>
    <w:rsid w:val="32C7A343"/>
    <w:rsid w:val="32CB9F52"/>
    <w:rsid w:val="39F3C474"/>
    <w:rsid w:val="3D3EE444"/>
    <w:rsid w:val="4239B5AE"/>
    <w:rsid w:val="4982F6A8"/>
    <w:rsid w:val="4A997E6B"/>
    <w:rsid w:val="4B3CE0A1"/>
    <w:rsid w:val="4B7D4EA4"/>
    <w:rsid w:val="5050BFC7"/>
    <w:rsid w:val="53694E69"/>
    <w:rsid w:val="544B4513"/>
    <w:rsid w:val="5AD49988"/>
    <w:rsid w:val="5D2064DD"/>
    <w:rsid w:val="5FA80AAB"/>
    <w:rsid w:val="67B0BFAB"/>
    <w:rsid w:val="6AE8606D"/>
    <w:rsid w:val="7160A633"/>
    <w:rsid w:val="76424238"/>
    <w:rsid w:val="77A92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A9227E"/>
  <w15:chartTrackingRefBased/>
  <w15:docId w15:val="{937D2E31-84A7-44A8-B970-4992D7D5F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Pr>
      <w:color w:val="0563C1"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558068">
      <w:bodyDiv w:val="1"/>
      <w:marLeft w:val="0"/>
      <w:marRight w:val="0"/>
      <w:marTop w:val="0"/>
      <w:marBottom w:val="0"/>
      <w:divBdr>
        <w:top w:val="none" w:sz="0" w:space="0" w:color="auto"/>
        <w:left w:val="none" w:sz="0" w:space="0" w:color="auto"/>
        <w:bottom w:val="none" w:sz="0" w:space="0" w:color="auto"/>
        <w:right w:val="none" w:sz="0" w:space="0" w:color="auto"/>
      </w:divBdr>
    </w:div>
    <w:div w:id="808785697">
      <w:bodyDiv w:val="1"/>
      <w:marLeft w:val="0"/>
      <w:marRight w:val="0"/>
      <w:marTop w:val="0"/>
      <w:marBottom w:val="0"/>
      <w:divBdr>
        <w:top w:val="none" w:sz="0" w:space="0" w:color="auto"/>
        <w:left w:val="none" w:sz="0" w:space="0" w:color="auto"/>
        <w:bottom w:val="none" w:sz="0" w:space="0" w:color="auto"/>
        <w:right w:val="none" w:sz="0" w:space="0" w:color="auto"/>
      </w:divBdr>
      <w:divsChild>
        <w:div w:id="613708777">
          <w:marLeft w:val="0"/>
          <w:marRight w:val="0"/>
          <w:marTop w:val="0"/>
          <w:marBottom w:val="0"/>
          <w:divBdr>
            <w:top w:val="single" w:sz="2" w:space="0" w:color="D9D9E3"/>
            <w:left w:val="single" w:sz="2" w:space="0" w:color="D9D9E3"/>
            <w:bottom w:val="single" w:sz="2" w:space="0" w:color="D9D9E3"/>
            <w:right w:val="single" w:sz="2" w:space="0" w:color="D9D9E3"/>
          </w:divBdr>
          <w:divsChild>
            <w:div w:id="1074398423">
              <w:marLeft w:val="0"/>
              <w:marRight w:val="0"/>
              <w:marTop w:val="0"/>
              <w:marBottom w:val="0"/>
              <w:divBdr>
                <w:top w:val="single" w:sz="2" w:space="0" w:color="D9D9E3"/>
                <w:left w:val="single" w:sz="2" w:space="0" w:color="D9D9E3"/>
                <w:bottom w:val="single" w:sz="2" w:space="0" w:color="D9D9E3"/>
                <w:right w:val="single" w:sz="2" w:space="0" w:color="D9D9E3"/>
              </w:divBdr>
              <w:divsChild>
                <w:div w:id="1203979210">
                  <w:marLeft w:val="0"/>
                  <w:marRight w:val="0"/>
                  <w:marTop w:val="0"/>
                  <w:marBottom w:val="0"/>
                  <w:divBdr>
                    <w:top w:val="single" w:sz="2" w:space="0" w:color="D9D9E3"/>
                    <w:left w:val="single" w:sz="2" w:space="0" w:color="D9D9E3"/>
                    <w:bottom w:val="single" w:sz="2" w:space="0" w:color="D9D9E3"/>
                    <w:right w:val="single" w:sz="2" w:space="0" w:color="D9D9E3"/>
                  </w:divBdr>
                  <w:divsChild>
                    <w:div w:id="1723600061">
                      <w:marLeft w:val="0"/>
                      <w:marRight w:val="0"/>
                      <w:marTop w:val="0"/>
                      <w:marBottom w:val="0"/>
                      <w:divBdr>
                        <w:top w:val="single" w:sz="2" w:space="0" w:color="D9D9E3"/>
                        <w:left w:val="single" w:sz="2" w:space="0" w:color="D9D9E3"/>
                        <w:bottom w:val="single" w:sz="2" w:space="0" w:color="D9D9E3"/>
                        <w:right w:val="single" w:sz="2" w:space="0" w:color="D9D9E3"/>
                      </w:divBdr>
                      <w:divsChild>
                        <w:div w:id="1718814987">
                          <w:marLeft w:val="0"/>
                          <w:marRight w:val="0"/>
                          <w:marTop w:val="0"/>
                          <w:marBottom w:val="0"/>
                          <w:divBdr>
                            <w:top w:val="none" w:sz="0" w:space="0" w:color="auto"/>
                            <w:left w:val="none" w:sz="0" w:space="0" w:color="auto"/>
                            <w:bottom w:val="none" w:sz="0" w:space="0" w:color="auto"/>
                            <w:right w:val="none" w:sz="0" w:space="0" w:color="auto"/>
                          </w:divBdr>
                          <w:divsChild>
                            <w:div w:id="2124420203">
                              <w:marLeft w:val="0"/>
                              <w:marRight w:val="0"/>
                              <w:marTop w:val="100"/>
                              <w:marBottom w:val="100"/>
                              <w:divBdr>
                                <w:top w:val="single" w:sz="2" w:space="0" w:color="D9D9E3"/>
                                <w:left w:val="single" w:sz="2" w:space="0" w:color="D9D9E3"/>
                                <w:bottom w:val="single" w:sz="2" w:space="0" w:color="D9D9E3"/>
                                <w:right w:val="single" w:sz="2" w:space="0" w:color="D9D9E3"/>
                              </w:divBdr>
                              <w:divsChild>
                                <w:div w:id="675426290">
                                  <w:marLeft w:val="0"/>
                                  <w:marRight w:val="0"/>
                                  <w:marTop w:val="0"/>
                                  <w:marBottom w:val="0"/>
                                  <w:divBdr>
                                    <w:top w:val="single" w:sz="2" w:space="0" w:color="D9D9E3"/>
                                    <w:left w:val="single" w:sz="2" w:space="0" w:color="D9D9E3"/>
                                    <w:bottom w:val="single" w:sz="2" w:space="0" w:color="D9D9E3"/>
                                    <w:right w:val="single" w:sz="2" w:space="0" w:color="D9D9E3"/>
                                  </w:divBdr>
                                  <w:divsChild>
                                    <w:div w:id="738669763">
                                      <w:marLeft w:val="0"/>
                                      <w:marRight w:val="0"/>
                                      <w:marTop w:val="0"/>
                                      <w:marBottom w:val="0"/>
                                      <w:divBdr>
                                        <w:top w:val="single" w:sz="2" w:space="0" w:color="D9D9E3"/>
                                        <w:left w:val="single" w:sz="2" w:space="0" w:color="D9D9E3"/>
                                        <w:bottom w:val="single" w:sz="2" w:space="0" w:color="D9D9E3"/>
                                        <w:right w:val="single" w:sz="2" w:space="0" w:color="D9D9E3"/>
                                      </w:divBdr>
                                      <w:divsChild>
                                        <w:div w:id="595796795">
                                          <w:marLeft w:val="0"/>
                                          <w:marRight w:val="0"/>
                                          <w:marTop w:val="0"/>
                                          <w:marBottom w:val="0"/>
                                          <w:divBdr>
                                            <w:top w:val="single" w:sz="2" w:space="0" w:color="D9D9E3"/>
                                            <w:left w:val="single" w:sz="2" w:space="0" w:color="D9D9E3"/>
                                            <w:bottom w:val="single" w:sz="2" w:space="0" w:color="D9D9E3"/>
                                            <w:right w:val="single" w:sz="2" w:space="0" w:color="D9D9E3"/>
                                          </w:divBdr>
                                          <w:divsChild>
                                            <w:div w:id="629897736">
                                              <w:marLeft w:val="0"/>
                                              <w:marRight w:val="0"/>
                                              <w:marTop w:val="0"/>
                                              <w:marBottom w:val="0"/>
                                              <w:divBdr>
                                                <w:top w:val="single" w:sz="2" w:space="0" w:color="D9D9E3"/>
                                                <w:left w:val="single" w:sz="2" w:space="0" w:color="D9D9E3"/>
                                                <w:bottom w:val="single" w:sz="2" w:space="0" w:color="D9D9E3"/>
                                                <w:right w:val="single" w:sz="2" w:space="0" w:color="D9D9E3"/>
                                              </w:divBdr>
                                              <w:divsChild>
                                                <w:div w:id="2133327976">
                                                  <w:marLeft w:val="0"/>
                                                  <w:marRight w:val="0"/>
                                                  <w:marTop w:val="0"/>
                                                  <w:marBottom w:val="0"/>
                                                  <w:divBdr>
                                                    <w:top w:val="single" w:sz="2" w:space="0" w:color="D9D9E3"/>
                                                    <w:left w:val="single" w:sz="2" w:space="0" w:color="D9D9E3"/>
                                                    <w:bottom w:val="single" w:sz="2" w:space="0" w:color="D9D9E3"/>
                                                    <w:right w:val="single" w:sz="2" w:space="0" w:color="D9D9E3"/>
                                                  </w:divBdr>
                                                  <w:divsChild>
                                                    <w:div w:id="170474266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93119008">
          <w:marLeft w:val="0"/>
          <w:marRight w:val="0"/>
          <w:marTop w:val="0"/>
          <w:marBottom w:val="0"/>
          <w:divBdr>
            <w:top w:val="none" w:sz="0" w:space="0" w:color="auto"/>
            <w:left w:val="none" w:sz="0" w:space="0" w:color="auto"/>
            <w:bottom w:val="none" w:sz="0" w:space="0" w:color="auto"/>
            <w:right w:val="none" w:sz="0" w:space="0" w:color="auto"/>
          </w:divBdr>
        </w:div>
      </w:divsChild>
    </w:div>
    <w:div w:id="1085347021">
      <w:bodyDiv w:val="1"/>
      <w:marLeft w:val="0"/>
      <w:marRight w:val="0"/>
      <w:marTop w:val="0"/>
      <w:marBottom w:val="0"/>
      <w:divBdr>
        <w:top w:val="none" w:sz="0" w:space="0" w:color="auto"/>
        <w:left w:val="none" w:sz="0" w:space="0" w:color="auto"/>
        <w:bottom w:val="none" w:sz="0" w:space="0" w:color="auto"/>
        <w:right w:val="none" w:sz="0" w:space="0" w:color="auto"/>
      </w:divBdr>
    </w:div>
    <w:div w:id="1316452293">
      <w:bodyDiv w:val="1"/>
      <w:marLeft w:val="0"/>
      <w:marRight w:val="0"/>
      <w:marTop w:val="0"/>
      <w:marBottom w:val="0"/>
      <w:divBdr>
        <w:top w:val="none" w:sz="0" w:space="0" w:color="auto"/>
        <w:left w:val="none" w:sz="0" w:space="0" w:color="auto"/>
        <w:bottom w:val="none" w:sz="0" w:space="0" w:color="auto"/>
        <w:right w:val="none" w:sz="0" w:space="0" w:color="auto"/>
      </w:divBdr>
      <w:divsChild>
        <w:div w:id="1498155474">
          <w:marLeft w:val="0"/>
          <w:marRight w:val="0"/>
          <w:marTop w:val="0"/>
          <w:marBottom w:val="0"/>
          <w:divBdr>
            <w:top w:val="none" w:sz="0" w:space="0" w:color="auto"/>
            <w:left w:val="none" w:sz="0" w:space="0" w:color="auto"/>
            <w:bottom w:val="none" w:sz="0" w:space="0" w:color="auto"/>
            <w:right w:val="none" w:sz="0" w:space="0" w:color="auto"/>
          </w:divBdr>
          <w:divsChild>
            <w:div w:id="81337255">
              <w:marLeft w:val="0"/>
              <w:marRight w:val="0"/>
              <w:marTop w:val="100"/>
              <w:marBottom w:val="100"/>
              <w:divBdr>
                <w:top w:val="single" w:sz="2" w:space="0" w:color="D9D9E3"/>
                <w:left w:val="single" w:sz="2" w:space="0" w:color="D9D9E3"/>
                <w:bottom w:val="single" w:sz="2" w:space="0" w:color="D9D9E3"/>
                <w:right w:val="single" w:sz="2" w:space="0" w:color="D9D9E3"/>
              </w:divBdr>
              <w:divsChild>
                <w:div w:id="425735886">
                  <w:marLeft w:val="0"/>
                  <w:marRight w:val="0"/>
                  <w:marTop w:val="0"/>
                  <w:marBottom w:val="0"/>
                  <w:divBdr>
                    <w:top w:val="single" w:sz="2" w:space="0" w:color="D9D9E3"/>
                    <w:left w:val="single" w:sz="2" w:space="0" w:color="D9D9E3"/>
                    <w:bottom w:val="single" w:sz="2" w:space="0" w:color="D9D9E3"/>
                    <w:right w:val="single" w:sz="2" w:space="0" w:color="D9D9E3"/>
                  </w:divBdr>
                  <w:divsChild>
                    <w:div w:id="433206707">
                      <w:marLeft w:val="0"/>
                      <w:marRight w:val="0"/>
                      <w:marTop w:val="0"/>
                      <w:marBottom w:val="0"/>
                      <w:divBdr>
                        <w:top w:val="single" w:sz="2" w:space="0" w:color="D9D9E3"/>
                        <w:left w:val="single" w:sz="2" w:space="0" w:color="D9D9E3"/>
                        <w:bottom w:val="single" w:sz="2" w:space="0" w:color="D9D9E3"/>
                        <w:right w:val="single" w:sz="2" w:space="0" w:color="D9D9E3"/>
                      </w:divBdr>
                      <w:divsChild>
                        <w:div w:id="1273321002">
                          <w:marLeft w:val="0"/>
                          <w:marRight w:val="0"/>
                          <w:marTop w:val="0"/>
                          <w:marBottom w:val="0"/>
                          <w:divBdr>
                            <w:top w:val="single" w:sz="2" w:space="0" w:color="D9D9E3"/>
                            <w:left w:val="single" w:sz="2" w:space="0" w:color="D9D9E3"/>
                            <w:bottom w:val="single" w:sz="2" w:space="0" w:color="D9D9E3"/>
                            <w:right w:val="single" w:sz="2" w:space="0" w:color="D9D9E3"/>
                          </w:divBdr>
                          <w:divsChild>
                            <w:div w:id="1430420427">
                              <w:marLeft w:val="0"/>
                              <w:marRight w:val="0"/>
                              <w:marTop w:val="0"/>
                              <w:marBottom w:val="0"/>
                              <w:divBdr>
                                <w:top w:val="single" w:sz="2" w:space="0" w:color="D9D9E3"/>
                                <w:left w:val="single" w:sz="2" w:space="0" w:color="D9D9E3"/>
                                <w:bottom w:val="single" w:sz="2" w:space="0" w:color="D9D9E3"/>
                                <w:right w:val="single" w:sz="2" w:space="0" w:color="D9D9E3"/>
                              </w:divBdr>
                              <w:divsChild>
                                <w:div w:id="180557928">
                                  <w:marLeft w:val="0"/>
                                  <w:marRight w:val="0"/>
                                  <w:marTop w:val="0"/>
                                  <w:marBottom w:val="0"/>
                                  <w:divBdr>
                                    <w:top w:val="single" w:sz="2" w:space="0" w:color="D9D9E3"/>
                                    <w:left w:val="single" w:sz="2" w:space="0" w:color="D9D9E3"/>
                                    <w:bottom w:val="single" w:sz="2" w:space="0" w:color="D9D9E3"/>
                                    <w:right w:val="single" w:sz="2" w:space="0" w:color="D9D9E3"/>
                                  </w:divBdr>
                                  <w:divsChild>
                                    <w:div w:id="198076127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 w:id="1782645757">
      <w:bodyDiv w:val="1"/>
      <w:marLeft w:val="0"/>
      <w:marRight w:val="0"/>
      <w:marTop w:val="0"/>
      <w:marBottom w:val="0"/>
      <w:divBdr>
        <w:top w:val="none" w:sz="0" w:space="0" w:color="auto"/>
        <w:left w:val="none" w:sz="0" w:space="0" w:color="auto"/>
        <w:bottom w:val="none" w:sz="0" w:space="0" w:color="auto"/>
        <w:right w:val="none" w:sz="0" w:space="0" w:color="auto"/>
      </w:divBdr>
      <w:divsChild>
        <w:div w:id="1425495619">
          <w:marLeft w:val="0"/>
          <w:marRight w:val="0"/>
          <w:marTop w:val="0"/>
          <w:marBottom w:val="0"/>
          <w:divBdr>
            <w:top w:val="single" w:sz="2" w:space="0" w:color="D9D9E3"/>
            <w:left w:val="single" w:sz="2" w:space="0" w:color="D9D9E3"/>
            <w:bottom w:val="single" w:sz="2" w:space="0" w:color="D9D9E3"/>
            <w:right w:val="single" w:sz="2" w:space="0" w:color="D9D9E3"/>
          </w:divBdr>
          <w:divsChild>
            <w:div w:id="1084454282">
              <w:marLeft w:val="0"/>
              <w:marRight w:val="0"/>
              <w:marTop w:val="0"/>
              <w:marBottom w:val="0"/>
              <w:divBdr>
                <w:top w:val="single" w:sz="2" w:space="0" w:color="D9D9E3"/>
                <w:left w:val="single" w:sz="2" w:space="0" w:color="D9D9E3"/>
                <w:bottom w:val="single" w:sz="2" w:space="0" w:color="D9D9E3"/>
                <w:right w:val="single" w:sz="2" w:space="0" w:color="D9D9E3"/>
              </w:divBdr>
              <w:divsChild>
                <w:div w:id="74784515">
                  <w:marLeft w:val="0"/>
                  <w:marRight w:val="0"/>
                  <w:marTop w:val="0"/>
                  <w:marBottom w:val="0"/>
                  <w:divBdr>
                    <w:top w:val="single" w:sz="2" w:space="0" w:color="D9D9E3"/>
                    <w:left w:val="single" w:sz="2" w:space="0" w:color="D9D9E3"/>
                    <w:bottom w:val="single" w:sz="2" w:space="0" w:color="D9D9E3"/>
                    <w:right w:val="single" w:sz="2" w:space="0" w:color="D9D9E3"/>
                  </w:divBdr>
                  <w:divsChild>
                    <w:div w:id="916136956">
                      <w:marLeft w:val="0"/>
                      <w:marRight w:val="0"/>
                      <w:marTop w:val="0"/>
                      <w:marBottom w:val="0"/>
                      <w:divBdr>
                        <w:top w:val="single" w:sz="2" w:space="0" w:color="D9D9E3"/>
                        <w:left w:val="single" w:sz="2" w:space="0" w:color="D9D9E3"/>
                        <w:bottom w:val="single" w:sz="2" w:space="0" w:color="D9D9E3"/>
                        <w:right w:val="single" w:sz="2" w:space="0" w:color="D9D9E3"/>
                      </w:divBdr>
                      <w:divsChild>
                        <w:div w:id="1126319063">
                          <w:marLeft w:val="0"/>
                          <w:marRight w:val="0"/>
                          <w:marTop w:val="0"/>
                          <w:marBottom w:val="0"/>
                          <w:divBdr>
                            <w:top w:val="none" w:sz="0" w:space="0" w:color="auto"/>
                            <w:left w:val="none" w:sz="0" w:space="0" w:color="auto"/>
                            <w:bottom w:val="none" w:sz="0" w:space="0" w:color="auto"/>
                            <w:right w:val="none" w:sz="0" w:space="0" w:color="auto"/>
                          </w:divBdr>
                          <w:divsChild>
                            <w:div w:id="1406225161">
                              <w:marLeft w:val="0"/>
                              <w:marRight w:val="0"/>
                              <w:marTop w:val="100"/>
                              <w:marBottom w:val="100"/>
                              <w:divBdr>
                                <w:top w:val="single" w:sz="2" w:space="0" w:color="D9D9E3"/>
                                <w:left w:val="single" w:sz="2" w:space="0" w:color="D9D9E3"/>
                                <w:bottom w:val="single" w:sz="2" w:space="0" w:color="D9D9E3"/>
                                <w:right w:val="single" w:sz="2" w:space="0" w:color="D9D9E3"/>
                              </w:divBdr>
                              <w:divsChild>
                                <w:div w:id="1515610248">
                                  <w:marLeft w:val="0"/>
                                  <w:marRight w:val="0"/>
                                  <w:marTop w:val="0"/>
                                  <w:marBottom w:val="0"/>
                                  <w:divBdr>
                                    <w:top w:val="single" w:sz="2" w:space="0" w:color="D9D9E3"/>
                                    <w:left w:val="single" w:sz="2" w:space="0" w:color="D9D9E3"/>
                                    <w:bottom w:val="single" w:sz="2" w:space="0" w:color="D9D9E3"/>
                                    <w:right w:val="single" w:sz="2" w:space="0" w:color="D9D9E3"/>
                                  </w:divBdr>
                                  <w:divsChild>
                                    <w:div w:id="300040089">
                                      <w:marLeft w:val="0"/>
                                      <w:marRight w:val="0"/>
                                      <w:marTop w:val="0"/>
                                      <w:marBottom w:val="0"/>
                                      <w:divBdr>
                                        <w:top w:val="single" w:sz="2" w:space="0" w:color="D9D9E3"/>
                                        <w:left w:val="single" w:sz="2" w:space="0" w:color="D9D9E3"/>
                                        <w:bottom w:val="single" w:sz="2" w:space="0" w:color="D9D9E3"/>
                                        <w:right w:val="single" w:sz="2" w:space="0" w:color="D9D9E3"/>
                                      </w:divBdr>
                                      <w:divsChild>
                                        <w:div w:id="720058349">
                                          <w:marLeft w:val="0"/>
                                          <w:marRight w:val="0"/>
                                          <w:marTop w:val="0"/>
                                          <w:marBottom w:val="0"/>
                                          <w:divBdr>
                                            <w:top w:val="single" w:sz="2" w:space="0" w:color="D9D9E3"/>
                                            <w:left w:val="single" w:sz="2" w:space="0" w:color="D9D9E3"/>
                                            <w:bottom w:val="single" w:sz="2" w:space="0" w:color="D9D9E3"/>
                                            <w:right w:val="single" w:sz="2" w:space="0" w:color="D9D9E3"/>
                                          </w:divBdr>
                                          <w:divsChild>
                                            <w:div w:id="1349256677">
                                              <w:marLeft w:val="0"/>
                                              <w:marRight w:val="0"/>
                                              <w:marTop w:val="0"/>
                                              <w:marBottom w:val="0"/>
                                              <w:divBdr>
                                                <w:top w:val="single" w:sz="2" w:space="0" w:color="D9D9E3"/>
                                                <w:left w:val="single" w:sz="2" w:space="0" w:color="D9D9E3"/>
                                                <w:bottom w:val="single" w:sz="2" w:space="0" w:color="D9D9E3"/>
                                                <w:right w:val="single" w:sz="2" w:space="0" w:color="D9D9E3"/>
                                              </w:divBdr>
                                              <w:divsChild>
                                                <w:div w:id="1719431411">
                                                  <w:marLeft w:val="0"/>
                                                  <w:marRight w:val="0"/>
                                                  <w:marTop w:val="0"/>
                                                  <w:marBottom w:val="0"/>
                                                  <w:divBdr>
                                                    <w:top w:val="single" w:sz="2" w:space="0" w:color="D9D9E3"/>
                                                    <w:left w:val="single" w:sz="2" w:space="0" w:color="D9D9E3"/>
                                                    <w:bottom w:val="single" w:sz="2" w:space="0" w:color="D9D9E3"/>
                                                    <w:right w:val="single" w:sz="2" w:space="0" w:color="D9D9E3"/>
                                                  </w:divBdr>
                                                  <w:divsChild>
                                                    <w:div w:id="14092913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sChild>
        </w:div>
        <w:div w:id="13402778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microsoft.com/office/2020/10/relationships/intelligence" Target="intelligence2.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25fff9c-3f63-4fb2-9a8a-d9bdd0321f9a}" enabled="0" method="" siteId="{a25fff9c-3f63-4fb2-9a8a-d9bdd0321f9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559</Words>
  <Characters>3187</Characters>
  <Application>Microsoft Office Word</Application>
  <DocSecurity>0</DocSecurity>
  <Lines>26</Lines>
  <Paragraphs>7</Paragraphs>
  <ScaleCrop>false</ScaleCrop>
  <Company/>
  <LinksUpToDate>false</LinksUpToDate>
  <CharactersWithSpaces>3739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Baloach, Abuzar B., D.O.</dc:creator>
  <cp:keywords/>
  <dc:description/>
  <cp:lastModifiedBy>Baloach, Abuzar B., D.O.</cp:lastModifiedBy>
  <cp:revision>2</cp:revision>
  <dcterms:created xsi:type="dcterms:W3CDTF">2023-11-21T15:07:00Z</dcterms:created>
  <dcterms:modified xsi:type="dcterms:W3CDTF">2023-11-21T15:07:00Z</dcterms:modified>
</cp:coreProperties>
</file>