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55C4" w:rsidRPr="009055C4" w:rsidRDefault="009055C4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9055C4">
        <w:rPr>
          <w:rFonts w:ascii="Times New Roman" w:hAnsi="Times New Roman" w:cs="Times New Roman"/>
          <w:lang w:val="en-US"/>
        </w:rPr>
        <w:t>Medial Vs Lateral Approaches Of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 xml:space="preserve">Costoclavicular BPB - A </w:t>
      </w:r>
      <w:proofErr w:type="spellStart"/>
      <w:r w:rsidRPr="009055C4">
        <w:rPr>
          <w:rFonts w:ascii="Times New Roman" w:hAnsi="Times New Roman" w:cs="Times New Roman"/>
          <w:lang w:val="en-US"/>
        </w:rPr>
        <w:t>Randomised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Control Trial</w:t>
      </w:r>
    </w:p>
    <w:p w:rsidR="009055C4" w:rsidRPr="009055C4" w:rsidRDefault="009055C4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:rsidR="009055C4" w:rsidRPr="009055C4" w:rsidRDefault="009055C4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9055C4">
        <w:rPr>
          <w:rFonts w:ascii="Times New Roman" w:hAnsi="Times New Roman" w:cs="Times New Roman"/>
          <w:lang w:val="en-US"/>
        </w:rPr>
        <w:t xml:space="preserve">Nishant </w:t>
      </w:r>
      <w:proofErr w:type="spellStart"/>
      <w:r w:rsidRPr="009055C4">
        <w:rPr>
          <w:rFonts w:ascii="Times New Roman" w:hAnsi="Times New Roman" w:cs="Times New Roman"/>
          <w:lang w:val="en-US"/>
        </w:rPr>
        <w:t>Patel</w:t>
      </w:r>
      <w:r>
        <w:rPr>
          <w:rFonts w:ascii="Times New Roman" w:hAnsi="Times New Roman" w:cs="Times New Roman"/>
          <w:lang w:val="en-US"/>
        </w:rPr>
        <w:t>,</w:t>
      </w:r>
      <w:r w:rsidRPr="009055C4">
        <w:rPr>
          <w:rFonts w:ascii="Times New Roman" w:hAnsi="Times New Roman" w:cs="Times New Roman"/>
          <w:lang w:val="en-US"/>
        </w:rPr>
        <w:t>Saranlal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 A M</w:t>
      </w:r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055C4">
        <w:rPr>
          <w:rFonts w:ascii="Times New Roman" w:hAnsi="Times New Roman" w:cs="Times New Roman"/>
          <w:lang w:val="en-US"/>
        </w:rPr>
        <w:t>Kanil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 Ranjith </w:t>
      </w:r>
      <w:proofErr w:type="spellStart"/>
      <w:r w:rsidRPr="009055C4">
        <w:rPr>
          <w:rFonts w:ascii="Times New Roman" w:hAnsi="Times New Roman" w:cs="Times New Roman"/>
          <w:lang w:val="en-US"/>
        </w:rPr>
        <w:t>Kumar</w:t>
      </w:r>
      <w:r>
        <w:rPr>
          <w:rFonts w:ascii="Times New Roman" w:hAnsi="Times New Roman" w:cs="Times New Roman"/>
          <w:lang w:val="en-US"/>
        </w:rPr>
        <w:t>,</w:t>
      </w:r>
      <w:r w:rsidRPr="009055C4">
        <w:rPr>
          <w:rFonts w:ascii="Times New Roman" w:hAnsi="Times New Roman" w:cs="Times New Roman"/>
          <w:lang w:val="en-US"/>
        </w:rPr>
        <w:t>Rakesh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Kumar </w:t>
      </w:r>
      <w:proofErr w:type="spellStart"/>
      <w:r w:rsidRPr="009055C4">
        <w:rPr>
          <w:rFonts w:ascii="Times New Roman" w:hAnsi="Times New Roman" w:cs="Times New Roman"/>
          <w:lang w:val="en-US"/>
        </w:rPr>
        <w:t>Thilaka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055C4">
        <w:rPr>
          <w:rFonts w:ascii="Times New Roman" w:hAnsi="Times New Roman" w:cs="Times New Roman"/>
          <w:lang w:val="en-US"/>
        </w:rPr>
        <w:t>Muthiah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 xml:space="preserve">Arshad </w:t>
      </w:r>
      <w:proofErr w:type="spellStart"/>
      <w:r w:rsidRPr="009055C4">
        <w:rPr>
          <w:rFonts w:ascii="Times New Roman" w:hAnsi="Times New Roman" w:cs="Times New Roman"/>
          <w:lang w:val="en-US"/>
        </w:rPr>
        <w:t>Ayub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 xml:space="preserve">Akhil </w:t>
      </w:r>
      <w:proofErr w:type="spellStart"/>
      <w:r w:rsidRPr="009055C4">
        <w:rPr>
          <w:rFonts w:ascii="Times New Roman" w:hAnsi="Times New Roman" w:cs="Times New Roman"/>
          <w:lang w:val="en-US"/>
        </w:rPr>
        <w:t>kant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 Singh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Puneet Khanna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055C4">
        <w:rPr>
          <w:rFonts w:ascii="Times New Roman" w:hAnsi="Times New Roman" w:cs="Times New Roman"/>
          <w:lang w:val="en-US"/>
        </w:rPr>
        <w:t>Bikash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 Ranjan Ray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Tahir Ansari</w:t>
      </w:r>
    </w:p>
    <w:p w:rsidR="009055C4" w:rsidRDefault="009055C4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9055C4">
        <w:rPr>
          <w:rFonts w:ascii="Times New Roman" w:hAnsi="Times New Roman" w:cs="Times New Roman"/>
          <w:lang w:val="en-US"/>
        </w:rPr>
        <w:t>All India Institute of Medical Sciences - New Delhi</w:t>
      </w:r>
    </w:p>
    <w:p w:rsidR="009055C4" w:rsidRPr="009055C4" w:rsidRDefault="009055C4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:rsidR="009055C4" w:rsidRDefault="009055C4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9055C4">
        <w:rPr>
          <w:rFonts w:ascii="Times New Roman" w:hAnsi="Times New Roman" w:cs="Times New Roman"/>
          <w:lang w:val="en-US"/>
        </w:rPr>
        <w:t>Introduction/Hypothesis:</w:t>
      </w:r>
    </w:p>
    <w:p w:rsidR="009055C4" w:rsidRPr="009055C4" w:rsidRDefault="009055C4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:rsidR="009055C4" w:rsidRPr="009055C4" w:rsidRDefault="009055C4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9055C4">
        <w:rPr>
          <w:rFonts w:ascii="Times New Roman" w:hAnsi="Times New Roman" w:cs="Times New Roman"/>
          <w:lang w:val="en-US"/>
        </w:rPr>
        <w:t>The peripheral nerve blocks of the upper extremity can be used for a variety of surgical procedures in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 xml:space="preserve">providing surgical </w:t>
      </w:r>
      <w:proofErr w:type="spellStart"/>
      <w:r w:rsidRPr="009055C4">
        <w:rPr>
          <w:rFonts w:ascii="Times New Roman" w:hAnsi="Times New Roman" w:cs="Times New Roman"/>
          <w:lang w:val="en-US"/>
        </w:rPr>
        <w:t>anaesthesia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 and/or postoperative analgesia. It provides </w:t>
      </w:r>
      <w:proofErr w:type="spellStart"/>
      <w:r w:rsidRPr="009055C4">
        <w:rPr>
          <w:rFonts w:ascii="Times New Roman" w:hAnsi="Times New Roman" w:cs="Times New Roman"/>
          <w:lang w:val="en-US"/>
        </w:rPr>
        <w:t>anaesthesia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 for surgeries of the distal two-thirds of the arm. The </w:t>
      </w:r>
      <w:proofErr w:type="spellStart"/>
      <w:r w:rsidRPr="009055C4">
        <w:rPr>
          <w:rFonts w:ascii="Times New Roman" w:hAnsi="Times New Roman" w:cs="Times New Roman"/>
          <w:lang w:val="en-US"/>
        </w:rPr>
        <w:t>costoclaviocular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 approach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is a newer approach that has more advantages than the conventional approach. The costoclavicular space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lies deeper and posterior to the midpoint of the clavicle and is bounded anteriorly by the subclavius and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clavicular head of the pectoralis major muscle and posteriorly by the anterior chest wall.. In this space, the cords are superficial, clustered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together, have a triangular arrangement, and are consistent in position. The costoclavicular space also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provides a useful site for catheter placement, with the catheter tip lying close to all the 3 cords.</w:t>
      </w:r>
    </w:p>
    <w:p w:rsidR="009055C4" w:rsidRPr="009055C4" w:rsidRDefault="009055C4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9055C4">
        <w:rPr>
          <w:rFonts w:ascii="Times New Roman" w:hAnsi="Times New Roman" w:cs="Times New Roman"/>
          <w:lang w:val="en-US"/>
        </w:rPr>
        <w:t>Traditionally costoclavicular brachial plexus block is performed from the lateral side. Alternatively, the block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can be performed by inserting the needle from the medial side. Lateral approach is associated with the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 xml:space="preserve">difficult </w:t>
      </w:r>
      <w:proofErr w:type="spellStart"/>
      <w:r w:rsidRPr="009055C4">
        <w:rPr>
          <w:rFonts w:ascii="Times New Roman" w:hAnsi="Times New Roman" w:cs="Times New Roman"/>
          <w:lang w:val="en-US"/>
        </w:rPr>
        <w:t>manoeuvring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 of needle due to the proximity of the bony structures and carries the risk of vascular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 xml:space="preserve">and pleural </w:t>
      </w:r>
      <w:proofErr w:type="spellStart"/>
      <w:r w:rsidRPr="009055C4">
        <w:rPr>
          <w:rFonts w:ascii="Times New Roman" w:hAnsi="Times New Roman" w:cs="Times New Roman"/>
          <w:lang w:val="en-US"/>
        </w:rPr>
        <w:t>puncture.This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 risk could be avoided by the medial to lateral approach. We hypothesized medial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approach of costoclavicular block would result in shorter performance time owing to the absence of bony</w:t>
      </w:r>
    </w:p>
    <w:p w:rsidR="009055C4" w:rsidRDefault="009055C4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9055C4">
        <w:rPr>
          <w:rFonts w:ascii="Times New Roman" w:hAnsi="Times New Roman" w:cs="Times New Roman"/>
          <w:lang w:val="en-US"/>
        </w:rPr>
        <w:t>anatomical structures.</w:t>
      </w:r>
    </w:p>
    <w:p w:rsidR="009055C4" w:rsidRPr="009055C4" w:rsidRDefault="009055C4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:rsidR="009055C4" w:rsidRPr="009055C4" w:rsidRDefault="009055C4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proofErr w:type="spellStart"/>
      <w:r w:rsidRPr="009055C4">
        <w:rPr>
          <w:rFonts w:ascii="Times New Roman" w:hAnsi="Times New Roman" w:cs="Times New Roman"/>
          <w:lang w:val="en-US"/>
        </w:rPr>
        <w:t>StudyDesign</w:t>
      </w:r>
      <w:proofErr w:type="spellEnd"/>
      <w:r w:rsidRPr="009055C4">
        <w:rPr>
          <w:rFonts w:ascii="Times New Roman" w:hAnsi="Times New Roman" w:cs="Times New Roman"/>
          <w:lang w:val="en-US"/>
        </w:rPr>
        <w:t>/ Methods:</w:t>
      </w:r>
    </w:p>
    <w:p w:rsidR="009055C4" w:rsidRPr="009055C4" w:rsidRDefault="009055C4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9055C4">
        <w:rPr>
          <w:rFonts w:ascii="Times New Roman" w:hAnsi="Times New Roman" w:cs="Times New Roman"/>
          <w:lang w:val="en-US"/>
        </w:rPr>
        <w:t>After IEC approval, 62 patients were assessed for eligibility of which 2 patients declined to participate in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 xml:space="preserve">the study; one patient after recruitment in Group L had </w:t>
      </w:r>
      <w:proofErr w:type="spellStart"/>
      <w:r w:rsidRPr="009055C4">
        <w:rPr>
          <w:rFonts w:ascii="Times New Roman" w:hAnsi="Times New Roman" w:cs="Times New Roman"/>
          <w:lang w:val="en-US"/>
        </w:rPr>
        <w:t>unfavourable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 ultrasound anatomy of the cords and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de-recruited. Of the remaining 59 patients, 30 patients were randomized to Group M and 29 patients were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randomized to Group L. In group M, needle was advanced in a medial to lateral direction and in Group L,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needle was advanced in lateral to medial direction. The primary outcome assessed was performance time.</w:t>
      </w:r>
    </w:p>
    <w:p w:rsidR="009055C4" w:rsidRDefault="009055C4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9055C4">
        <w:rPr>
          <w:rFonts w:ascii="Times New Roman" w:hAnsi="Times New Roman" w:cs="Times New Roman"/>
          <w:lang w:val="en-US"/>
        </w:rPr>
        <w:t xml:space="preserve">The secondary outcomes were Imaging time, Needling time, Block onset time, Total </w:t>
      </w:r>
      <w:proofErr w:type="spellStart"/>
      <w:r w:rsidRPr="009055C4">
        <w:rPr>
          <w:rFonts w:ascii="Times New Roman" w:hAnsi="Times New Roman" w:cs="Times New Roman"/>
          <w:lang w:val="en-US"/>
        </w:rPr>
        <w:t>Anaesthesia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 time,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055C4">
        <w:rPr>
          <w:rFonts w:ascii="Times New Roman" w:hAnsi="Times New Roman" w:cs="Times New Roman"/>
          <w:lang w:val="en-US"/>
        </w:rPr>
        <w:t>Anaesthesia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 success, Performer difficulty score. Further subgroup analysis compared BMI and depth of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the cords with performance time and performer difficulty. As two patients were switched over to Group L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 xml:space="preserve">due to </w:t>
      </w:r>
      <w:proofErr w:type="spellStart"/>
      <w:r w:rsidRPr="009055C4">
        <w:rPr>
          <w:rFonts w:ascii="Times New Roman" w:hAnsi="Times New Roman" w:cs="Times New Roman"/>
          <w:lang w:val="en-US"/>
        </w:rPr>
        <w:t>unfavourable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 anatomy, we ran statistical analysis by modified Intention to treat analysis (</w:t>
      </w:r>
      <w:proofErr w:type="spellStart"/>
      <w:r w:rsidRPr="009055C4">
        <w:rPr>
          <w:rFonts w:ascii="Times New Roman" w:hAnsi="Times New Roman" w:cs="Times New Roman"/>
          <w:lang w:val="en-US"/>
        </w:rPr>
        <w:t>mITT</w:t>
      </w:r>
      <w:proofErr w:type="spellEnd"/>
      <w:r w:rsidRPr="009055C4">
        <w:rPr>
          <w:rFonts w:ascii="Times New Roman" w:hAnsi="Times New Roman" w:cs="Times New Roman"/>
          <w:lang w:val="en-US"/>
        </w:rPr>
        <w:t>) and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 xml:space="preserve">as per protocol analysis. We </w:t>
      </w:r>
      <w:proofErr w:type="spellStart"/>
      <w:r w:rsidRPr="009055C4">
        <w:rPr>
          <w:rFonts w:ascii="Times New Roman" w:hAnsi="Times New Roman" w:cs="Times New Roman"/>
          <w:lang w:val="en-US"/>
        </w:rPr>
        <w:t>summarise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055C4">
        <w:rPr>
          <w:rFonts w:ascii="Times New Roman" w:hAnsi="Times New Roman" w:cs="Times New Roman"/>
          <w:lang w:val="en-US"/>
        </w:rPr>
        <w:t>mITT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 analysis results.</w:t>
      </w:r>
    </w:p>
    <w:p w:rsidR="009055C4" w:rsidRPr="009055C4" w:rsidRDefault="009055C4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:rsidR="009055C4" w:rsidRPr="009055C4" w:rsidRDefault="009055C4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9055C4">
        <w:rPr>
          <w:rFonts w:ascii="Times New Roman" w:hAnsi="Times New Roman" w:cs="Times New Roman"/>
          <w:lang w:val="en-US"/>
        </w:rPr>
        <w:t>Results:</w:t>
      </w:r>
    </w:p>
    <w:p w:rsidR="009055C4" w:rsidRPr="009055C4" w:rsidRDefault="009055C4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9055C4">
        <w:rPr>
          <w:rFonts w:ascii="Times New Roman" w:hAnsi="Times New Roman" w:cs="Times New Roman"/>
          <w:lang w:val="en-US"/>
        </w:rPr>
        <w:t>The mean ± SD for performance time (in mins) was 11.9 ± 3.8 in Group M and 9.4 ± 4.1 in Group L with a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difference of mean (95% CI) of 2.4 (0.3 to 4.5) (p-value &lt;0.023).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The median (interquartile range) imaging time of Group M was 2 mins (1-6) vs 1 min (1-5) in Group L (</w:t>
      </w:r>
      <w:proofErr w:type="spellStart"/>
      <w:r w:rsidRPr="009055C4">
        <w:rPr>
          <w:rFonts w:ascii="Times New Roman" w:hAnsi="Times New Roman" w:cs="Times New Roman"/>
          <w:lang w:val="en-US"/>
        </w:rPr>
        <w:t>pvalue</w:t>
      </w:r>
      <w:proofErr w:type="spellEnd"/>
      <w:r w:rsidRPr="009055C4"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0.038). The median (interquartile range) needling time of Group M was 9.5 mins (5-16) vs 7 mins (4-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19) in Group L (p-value-0.035). The median block onset time was 25 minutes in group M and 20 minutes in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Group L (p-value-0.061). The median (interquartile range) number of needle advancements was 3 (1,6) in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group M and 2 (1,3) in Group L (p-value-0.0001). Success rates were 96.6% in Group M and 93.1% in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Group L (p-value-0.612). The need for rescue analgesia was 6.9% in Group M and 3.7% in Group L (p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value-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 xml:space="preserve">0.596). </w:t>
      </w:r>
      <w:r w:rsidRPr="009055C4">
        <w:rPr>
          <w:rFonts w:ascii="Times New Roman" w:hAnsi="Times New Roman" w:cs="Times New Roman"/>
          <w:lang w:val="en-US"/>
        </w:rPr>
        <w:lastRenderedPageBreak/>
        <w:t>Procedural complications were 6.67% in Group M and 3.45% in Group L (p-value-1.000). We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noted that 40%, 26.67%, 33.3% patients in Group M had Grade 3,2,1 performer difficulty whereas 10.3%,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37.9%, 51.7% in Group L had Grade 3,2,1 performer difficulty respectively (p-value-0.032).The mean ± SD</w:t>
      </w:r>
      <w:r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for the time of first analgesic requirement (in hours) as per randomization was 13.4 ± 3.1 in Group M and</w:t>
      </w:r>
      <w:r w:rsidR="00B156CE"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13.7 ± 3.6 in Group L with difference of mean (95% CI) of -0.3 (-2.1 to 1.4) with p-value of 0.690.We did a</w:t>
      </w:r>
      <w:r w:rsidR="00B156CE"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correlation analysis between BMI and depth with performance time and performer difficulty. We chose cutoff</w:t>
      </w:r>
    </w:p>
    <w:p w:rsidR="009055C4" w:rsidRPr="009055C4" w:rsidRDefault="009055C4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9055C4">
        <w:rPr>
          <w:rFonts w:ascii="Times New Roman" w:hAnsi="Times New Roman" w:cs="Times New Roman"/>
          <w:lang w:val="en-US"/>
        </w:rPr>
        <w:t>for BMI at 25 and depth of cords at 3cm arbitrarily. The mean performance time was 9.95 mins in</w:t>
      </w:r>
      <w:r w:rsidR="00B156CE"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patients with BMI &lt; 25 vs 12.68 mins with BMI &gt; 25 (p-value-0.0243). The mean performance time was</w:t>
      </w:r>
      <w:r w:rsidR="00B156CE"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8.28 mins in depth &lt; 3cm vs11.44 mins in depth &gt; 3cm (p-value- 0.0123). In patients with BMI &lt; 25,</w:t>
      </w:r>
      <w:r w:rsidR="00B156CE"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proportion of performer difficulty Grade 3 is only 18.6% which raises to 43.75% in BMI &gt; 25 (p-value-</w:t>
      </w:r>
      <w:r w:rsidR="00B156CE"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0.050).In patients with depth &lt; 3cm, proportion of performer difficulty Grade 3 is only 7.14% which raises</w:t>
      </w:r>
    </w:p>
    <w:p w:rsidR="009055C4" w:rsidRPr="009055C4" w:rsidRDefault="009055C4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9055C4">
        <w:rPr>
          <w:rFonts w:ascii="Times New Roman" w:hAnsi="Times New Roman" w:cs="Times New Roman"/>
          <w:lang w:val="en-US"/>
        </w:rPr>
        <w:t>to 31.11% in depth &gt; 3cm (p-value-0.180).</w:t>
      </w:r>
    </w:p>
    <w:p w:rsidR="00B156CE" w:rsidRDefault="00B156CE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:rsidR="009055C4" w:rsidRPr="009055C4" w:rsidRDefault="009055C4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9055C4">
        <w:rPr>
          <w:rFonts w:ascii="Times New Roman" w:hAnsi="Times New Roman" w:cs="Times New Roman"/>
          <w:lang w:val="en-US"/>
        </w:rPr>
        <w:t>Discussion</w:t>
      </w:r>
    </w:p>
    <w:p w:rsidR="009055C4" w:rsidRPr="009055C4" w:rsidRDefault="009055C4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9055C4">
        <w:rPr>
          <w:rFonts w:ascii="Times New Roman" w:hAnsi="Times New Roman" w:cs="Times New Roman"/>
          <w:lang w:val="en-US"/>
        </w:rPr>
        <w:t xml:space="preserve">To the best of our knowledge, our study was the first </w:t>
      </w:r>
      <w:proofErr w:type="spellStart"/>
      <w:r w:rsidRPr="009055C4">
        <w:rPr>
          <w:rFonts w:ascii="Times New Roman" w:hAnsi="Times New Roman" w:cs="Times New Roman"/>
          <w:lang w:val="en-US"/>
        </w:rPr>
        <w:t>randomised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 control trial that compared the two</w:t>
      </w:r>
      <w:r w:rsidR="00B156CE"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approaches of the costoclavicular block and the first formal study to assess the patient-directed outcome</w:t>
      </w:r>
      <w:r w:rsidR="00B156CE"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measures. In contrast to our hypothesis, results showed higher performance time with the medial approach</w:t>
      </w:r>
    </w:p>
    <w:p w:rsidR="009055C4" w:rsidRPr="009055C4" w:rsidRDefault="009055C4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9055C4">
        <w:rPr>
          <w:rFonts w:ascii="Times New Roman" w:hAnsi="Times New Roman" w:cs="Times New Roman"/>
          <w:lang w:val="en-US"/>
        </w:rPr>
        <w:t>than lateral approach. This significant difference between the two groups could be attributed to the</w:t>
      </w:r>
      <w:r w:rsidR="00B156CE"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anatomical peculiarities that might be encountered while needling in the medial approach. The cephal</w:t>
      </w:r>
      <w:r w:rsidR="00B156CE">
        <w:rPr>
          <w:rFonts w:ascii="Times New Roman" w:hAnsi="Times New Roman" w:cs="Times New Roman"/>
          <w:lang w:val="en-US"/>
        </w:rPr>
        <w:t>ic</w:t>
      </w:r>
      <w:r w:rsidRPr="009055C4">
        <w:rPr>
          <w:rFonts w:ascii="Times New Roman" w:hAnsi="Times New Roman" w:cs="Times New Roman"/>
          <w:lang w:val="en-US"/>
        </w:rPr>
        <w:t xml:space="preserve"> vein</w:t>
      </w:r>
      <w:r w:rsidR="00B156CE"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which drains into axillary vein from lateral to medial direction could have provided sonological difficulty and</w:t>
      </w:r>
      <w:r w:rsidR="00B156CE"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the anesthesiologist performing the block would have been apprehensive about the vascular structure to</w:t>
      </w:r>
      <w:r w:rsidR="00B156CE"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avoid accidental vascular puncture. The performer difficulty was also higher in the medial approach and the</w:t>
      </w:r>
      <w:r w:rsidR="00B156CE"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difficulty increases with BMI &gt;25 and depth of cords &gt; 3cm. Further research on high risk patients like</w:t>
      </w:r>
    </w:p>
    <w:p w:rsidR="009055C4" w:rsidRDefault="009055C4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9055C4">
        <w:rPr>
          <w:rFonts w:ascii="Times New Roman" w:hAnsi="Times New Roman" w:cs="Times New Roman"/>
          <w:lang w:val="en-US"/>
        </w:rPr>
        <w:t>morbidly obese might be required to shed new insights.</w:t>
      </w:r>
    </w:p>
    <w:p w:rsidR="00B156CE" w:rsidRPr="009055C4" w:rsidRDefault="00B156CE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p w:rsidR="009055C4" w:rsidRPr="009055C4" w:rsidRDefault="009055C4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9055C4">
        <w:rPr>
          <w:rFonts w:ascii="Times New Roman" w:hAnsi="Times New Roman" w:cs="Times New Roman"/>
          <w:lang w:val="en-US"/>
        </w:rPr>
        <w:t>References</w:t>
      </w:r>
    </w:p>
    <w:p w:rsidR="009055C4" w:rsidRPr="009055C4" w:rsidRDefault="009055C4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9055C4">
        <w:rPr>
          <w:rFonts w:ascii="Times New Roman" w:hAnsi="Times New Roman" w:cs="Times New Roman"/>
          <w:lang w:val="en-US"/>
        </w:rPr>
        <w:t xml:space="preserve">1. </w:t>
      </w:r>
      <w:proofErr w:type="spellStart"/>
      <w:r w:rsidRPr="009055C4">
        <w:rPr>
          <w:rFonts w:ascii="Times New Roman" w:hAnsi="Times New Roman" w:cs="Times New Roman"/>
          <w:lang w:val="en-US"/>
        </w:rPr>
        <w:t>Karmakar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055C4">
        <w:rPr>
          <w:rFonts w:ascii="Times New Roman" w:hAnsi="Times New Roman" w:cs="Times New Roman"/>
          <w:lang w:val="en-US"/>
        </w:rPr>
        <w:t>Manoj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 Kumar, Xavier Sala-Blanch, </w:t>
      </w:r>
      <w:proofErr w:type="spellStart"/>
      <w:r w:rsidRPr="009055C4">
        <w:rPr>
          <w:rFonts w:ascii="Times New Roman" w:hAnsi="Times New Roman" w:cs="Times New Roman"/>
          <w:lang w:val="en-US"/>
        </w:rPr>
        <w:t>Banchobporn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055C4">
        <w:rPr>
          <w:rFonts w:ascii="Times New Roman" w:hAnsi="Times New Roman" w:cs="Times New Roman"/>
          <w:lang w:val="en-US"/>
        </w:rPr>
        <w:t>Songthamwat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, and Ban C.H. </w:t>
      </w:r>
      <w:proofErr w:type="spellStart"/>
      <w:r w:rsidRPr="009055C4">
        <w:rPr>
          <w:rFonts w:ascii="Times New Roman" w:hAnsi="Times New Roman" w:cs="Times New Roman"/>
          <w:lang w:val="en-US"/>
        </w:rPr>
        <w:t>Tsui</w:t>
      </w:r>
      <w:proofErr w:type="spellEnd"/>
      <w:r w:rsidRPr="009055C4">
        <w:rPr>
          <w:rFonts w:ascii="Times New Roman" w:hAnsi="Times New Roman" w:cs="Times New Roman"/>
          <w:lang w:val="en-US"/>
        </w:rPr>
        <w:t>. “Benefits of</w:t>
      </w:r>
      <w:r w:rsidR="00B156CE"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the Costoclavicular Space for Ultrasound-Guided Infraclavicular Brachial Plexus Block: Description of a</w:t>
      </w:r>
      <w:r w:rsidR="00B156CE"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Costoclavicular Approach.” Regional Anesthesia and Pain Medicine 40, no. 3 (2015): 287–88.</w:t>
      </w:r>
    </w:p>
    <w:p w:rsidR="009055C4" w:rsidRPr="009055C4" w:rsidRDefault="009055C4" w:rsidP="009055C4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9055C4">
        <w:rPr>
          <w:rFonts w:ascii="Times New Roman" w:hAnsi="Times New Roman" w:cs="Times New Roman"/>
          <w:lang w:val="en-US"/>
        </w:rPr>
        <w:t xml:space="preserve">2. Li, Jia Wei, </w:t>
      </w:r>
      <w:proofErr w:type="spellStart"/>
      <w:r w:rsidRPr="009055C4">
        <w:rPr>
          <w:rFonts w:ascii="Times New Roman" w:hAnsi="Times New Roman" w:cs="Times New Roman"/>
          <w:lang w:val="en-US"/>
        </w:rPr>
        <w:t>Banchobporn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055C4">
        <w:rPr>
          <w:rFonts w:ascii="Times New Roman" w:hAnsi="Times New Roman" w:cs="Times New Roman"/>
          <w:lang w:val="en-US"/>
        </w:rPr>
        <w:t>Songthamwat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, Winnie </w:t>
      </w:r>
      <w:proofErr w:type="spellStart"/>
      <w:r w:rsidRPr="009055C4">
        <w:rPr>
          <w:rFonts w:ascii="Times New Roman" w:hAnsi="Times New Roman" w:cs="Times New Roman"/>
          <w:lang w:val="en-US"/>
        </w:rPr>
        <w:t>Samy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, Xavier Sala-Blanch, and </w:t>
      </w:r>
      <w:proofErr w:type="spellStart"/>
      <w:r w:rsidRPr="009055C4">
        <w:rPr>
          <w:rFonts w:ascii="Times New Roman" w:hAnsi="Times New Roman" w:cs="Times New Roman"/>
          <w:lang w:val="en-US"/>
        </w:rPr>
        <w:t>Manoj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 Kumar </w:t>
      </w:r>
      <w:proofErr w:type="spellStart"/>
      <w:r w:rsidRPr="009055C4">
        <w:rPr>
          <w:rFonts w:ascii="Times New Roman" w:hAnsi="Times New Roman" w:cs="Times New Roman"/>
          <w:lang w:val="en-US"/>
        </w:rPr>
        <w:t>Karmakar</w:t>
      </w:r>
      <w:proofErr w:type="spellEnd"/>
      <w:r w:rsidRPr="009055C4">
        <w:rPr>
          <w:rFonts w:ascii="Times New Roman" w:hAnsi="Times New Roman" w:cs="Times New Roman"/>
          <w:lang w:val="en-US"/>
        </w:rPr>
        <w:t>.</w:t>
      </w:r>
      <w:r w:rsidR="00B156CE"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 xml:space="preserve">“Ultrasound-Guided Costoclavicular Brachial Plexus Block: </w:t>
      </w:r>
      <w:proofErr w:type="spellStart"/>
      <w:r w:rsidRPr="009055C4">
        <w:rPr>
          <w:rFonts w:ascii="Times New Roman" w:hAnsi="Times New Roman" w:cs="Times New Roman"/>
          <w:lang w:val="en-US"/>
        </w:rPr>
        <w:t>Sonoanatomy</w:t>
      </w:r>
      <w:proofErr w:type="spellEnd"/>
      <w:r w:rsidRPr="009055C4">
        <w:rPr>
          <w:rFonts w:ascii="Times New Roman" w:hAnsi="Times New Roman" w:cs="Times New Roman"/>
          <w:lang w:val="en-US"/>
        </w:rPr>
        <w:t>, Technique, and Block Dynamics.”</w:t>
      </w:r>
      <w:r w:rsidR="00B156CE"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>Regional Anesthesia and Pain Medicine 42, no. 2 (2017): 233–40.</w:t>
      </w:r>
    </w:p>
    <w:p w:rsidR="00691BF4" w:rsidRPr="00B156CE" w:rsidRDefault="009055C4" w:rsidP="00B156CE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9055C4">
        <w:rPr>
          <w:rFonts w:ascii="Times New Roman" w:hAnsi="Times New Roman" w:cs="Times New Roman"/>
          <w:lang w:val="en-US"/>
        </w:rPr>
        <w:t xml:space="preserve">3. </w:t>
      </w:r>
      <w:proofErr w:type="spellStart"/>
      <w:r w:rsidRPr="009055C4">
        <w:rPr>
          <w:rFonts w:ascii="Times New Roman" w:hAnsi="Times New Roman" w:cs="Times New Roman"/>
          <w:lang w:val="en-US"/>
        </w:rPr>
        <w:t>Nieuwveld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, D., V. Mojica, A.E. Herrera, J. </w:t>
      </w:r>
      <w:proofErr w:type="spellStart"/>
      <w:r w:rsidRPr="009055C4">
        <w:rPr>
          <w:rFonts w:ascii="Times New Roman" w:hAnsi="Times New Roman" w:cs="Times New Roman"/>
          <w:lang w:val="en-US"/>
        </w:rPr>
        <w:t>Pomés</w:t>
      </w:r>
      <w:proofErr w:type="spellEnd"/>
      <w:r w:rsidRPr="009055C4">
        <w:rPr>
          <w:rFonts w:ascii="Times New Roman" w:hAnsi="Times New Roman" w:cs="Times New Roman"/>
          <w:lang w:val="en-US"/>
        </w:rPr>
        <w:t>, A. Prats, and X. Sala-Blanch. “Medial Approach of</w:t>
      </w:r>
      <w:r w:rsidR="00B156CE"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 xml:space="preserve">Ultrasound-Guided Costoclavicular Plexus Block and Its Effects on Regional </w:t>
      </w:r>
      <w:proofErr w:type="spellStart"/>
      <w:r w:rsidRPr="009055C4">
        <w:rPr>
          <w:rFonts w:ascii="Times New Roman" w:hAnsi="Times New Roman" w:cs="Times New Roman"/>
          <w:lang w:val="en-US"/>
        </w:rPr>
        <w:t>Perfussion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.” </w:t>
      </w:r>
      <w:proofErr w:type="spellStart"/>
      <w:r w:rsidRPr="009055C4">
        <w:rPr>
          <w:rFonts w:ascii="Times New Roman" w:hAnsi="Times New Roman" w:cs="Times New Roman"/>
          <w:lang w:val="en-US"/>
        </w:rPr>
        <w:t>Revista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 Española</w:t>
      </w:r>
      <w:r w:rsidR="00B156CE">
        <w:rPr>
          <w:rFonts w:ascii="Times New Roman" w:hAnsi="Times New Roman" w:cs="Times New Roman"/>
          <w:lang w:val="en-US"/>
        </w:rPr>
        <w:t xml:space="preserve"> </w:t>
      </w:r>
      <w:r w:rsidRPr="009055C4">
        <w:rPr>
          <w:rFonts w:ascii="Times New Roman" w:hAnsi="Times New Roman" w:cs="Times New Roman"/>
          <w:lang w:val="en-US"/>
        </w:rPr>
        <w:t xml:space="preserve">de </w:t>
      </w:r>
      <w:proofErr w:type="spellStart"/>
      <w:r w:rsidRPr="009055C4">
        <w:rPr>
          <w:rFonts w:ascii="Times New Roman" w:hAnsi="Times New Roman" w:cs="Times New Roman"/>
          <w:lang w:val="en-US"/>
        </w:rPr>
        <w:t>Anestesiología y Reanimación</w:t>
      </w:r>
      <w:proofErr w:type="spellEnd"/>
      <w:r w:rsidRPr="009055C4">
        <w:rPr>
          <w:rFonts w:ascii="Times New Roman" w:hAnsi="Times New Roman" w:cs="Times New Roman"/>
          <w:lang w:val="en-US"/>
        </w:rPr>
        <w:t xml:space="preserve"> (English Edition) 64, no. 4 (April 2017): 198–205.</w:t>
      </w:r>
    </w:p>
    <w:sectPr w:rsidR="00691BF4" w:rsidRPr="00B156CE" w:rsidSect="00DE484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5C4"/>
    <w:rsid w:val="00582B47"/>
    <w:rsid w:val="0079079A"/>
    <w:rsid w:val="009055C4"/>
    <w:rsid w:val="009F1066"/>
    <w:rsid w:val="00B156CE"/>
    <w:rsid w:val="00DE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22C37C"/>
  <w15:chartTrackingRefBased/>
  <w15:docId w15:val="{CFDB2CAD-0FFF-C04C-BF6D-96BBE6553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Nishant Patel</dc:creator>
  <cp:keywords/>
  <dc:description/>
  <cp:lastModifiedBy>Nishant Patel</cp:lastModifiedBy>
  <cp:revision>1</cp:revision>
  <dcterms:created xsi:type="dcterms:W3CDTF">2023-01-27T03:09:00Z</dcterms:created>
  <dcterms:modified xsi:type="dcterms:W3CDTF">2023-01-27T03:24:00Z</dcterms:modified>
</cp:coreProperties>
</file>