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E4B6A" w14:textId="77777777" w:rsidR="00FE6866" w:rsidRPr="007F611B" w:rsidRDefault="00FE6866" w:rsidP="00FE6866">
      <w:pPr>
        <w:spacing w:line="36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7F611B">
        <w:rPr>
          <w:rFonts w:ascii="Times New Roman" w:hAnsi="Times New Roman" w:cs="Times New Roman"/>
          <w:b/>
          <w:bCs/>
          <w:sz w:val="40"/>
          <w:szCs w:val="40"/>
        </w:rPr>
        <w:t>Emergency general surgery: Predicting morbidity and mortality in the geriatric population.</w:t>
      </w:r>
    </w:p>
    <w:p w14:paraId="6D7130A5" w14:textId="49A7864F" w:rsidR="00FE6866" w:rsidRPr="00FE6866" w:rsidRDefault="00FE6866" w:rsidP="00FE6866">
      <w:pPr>
        <w:spacing w:line="360" w:lineRule="auto"/>
        <w:jc w:val="both"/>
        <w:rPr>
          <w:rFonts w:ascii="Times New Roman" w:hAnsi="Times New Roman" w:cs="Times New Roman"/>
        </w:rPr>
      </w:pPr>
      <w:r w:rsidRPr="007F611B">
        <w:rPr>
          <w:rFonts w:ascii="Times New Roman" w:hAnsi="Times New Roman" w:cs="Times New Roman"/>
          <w:sz w:val="28"/>
          <w:szCs w:val="28"/>
        </w:rPr>
        <w:t>Panagiotis Tsoutsanis</w:t>
      </w:r>
      <w:r w:rsidRPr="007F611B">
        <w:rPr>
          <w:rFonts w:ascii="Times New Roman" w:hAnsi="Times New Roman" w:cs="Times New Roman"/>
          <w:sz w:val="28"/>
          <w:szCs w:val="28"/>
          <w:vertAlign w:val="superscript"/>
        </w:rPr>
        <w:t>1,3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>
        <w:rPr>
          <w:rFonts w:ascii="Times New Roman" w:hAnsi="Times New Roman" w:cs="Times New Roman"/>
          <w:b/>
          <w:bCs/>
        </w:rPr>
        <w:t xml:space="preserve">, </w:t>
      </w:r>
      <w:r w:rsidRPr="007F611B">
        <w:rPr>
          <w:rFonts w:ascii="Times New Roman" w:hAnsi="Times New Roman" w:cs="Times New Roman"/>
          <w:sz w:val="28"/>
          <w:szCs w:val="28"/>
        </w:rPr>
        <w:t>Abubaker Elamin</w:t>
      </w:r>
      <w:r w:rsidRPr="007F611B">
        <w:rPr>
          <w:rFonts w:ascii="Times New Roman" w:hAnsi="Times New Roman" w:cs="Times New Roman"/>
          <w:sz w:val="28"/>
          <w:szCs w:val="28"/>
          <w:vertAlign w:val="superscript"/>
        </w:rPr>
        <w:t>1,2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*   </w:t>
      </w:r>
    </w:p>
    <w:p w14:paraId="0A4072A4" w14:textId="77777777" w:rsidR="00FE6866" w:rsidRPr="007F611B" w:rsidRDefault="00FE6866" w:rsidP="00FE6866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7F611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IRCCS </w:t>
      </w:r>
      <w:proofErr w:type="spellStart"/>
      <w:r w:rsidRPr="007F611B">
        <w:rPr>
          <w:rFonts w:ascii="Times New Roman" w:eastAsia="Times New Roman" w:hAnsi="Times New Roman" w:cs="Times New Roman"/>
          <w:sz w:val="20"/>
          <w:szCs w:val="20"/>
          <w:lang w:eastAsia="en-GB"/>
        </w:rPr>
        <w:t>Humanitas</w:t>
      </w:r>
      <w:proofErr w:type="spellEnd"/>
      <w:r w:rsidRPr="007F611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Research Hospital, Via Manzoni 56, 20089 </w:t>
      </w:r>
      <w:proofErr w:type="spellStart"/>
      <w:r w:rsidRPr="007F611B">
        <w:rPr>
          <w:rFonts w:ascii="Times New Roman" w:eastAsia="Times New Roman" w:hAnsi="Times New Roman" w:cs="Times New Roman"/>
          <w:sz w:val="20"/>
          <w:szCs w:val="20"/>
          <w:lang w:eastAsia="en-GB"/>
        </w:rPr>
        <w:t>Rozzano</w:t>
      </w:r>
      <w:proofErr w:type="spellEnd"/>
      <w:r w:rsidRPr="007F611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–Milan, Italy </w:t>
      </w:r>
    </w:p>
    <w:p w14:paraId="657AC671" w14:textId="77777777" w:rsidR="00FE6866" w:rsidRPr="007F611B" w:rsidRDefault="00FE6866" w:rsidP="00FE6866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7F611B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Nottingham University Hospitals, Hucknall Rd, Nottingham NG5 1PB, UK</w:t>
      </w:r>
    </w:p>
    <w:p w14:paraId="321BCBD8" w14:textId="77777777" w:rsidR="00FE6866" w:rsidRPr="007F611B" w:rsidRDefault="00FE6866" w:rsidP="00FE6866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7F611B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Ipswich Hospital, Heath Rd, Ipswich IP4 5PD, UK</w:t>
      </w:r>
    </w:p>
    <w:p w14:paraId="6A73DB74" w14:textId="783C06D2" w:rsidR="00FE6866" w:rsidRDefault="00FE6866" w:rsidP="00FE686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>
        <w:rPr>
          <w:rFonts w:ascii="Times New Roman" w:hAnsi="Times New Roman" w:cs="Times New Roman"/>
        </w:rPr>
        <w:t>(Joint first authors)</w:t>
      </w:r>
    </w:p>
    <w:p w14:paraId="31DEA97D" w14:textId="77777777" w:rsidR="00FE6866" w:rsidRDefault="00FE6866" w:rsidP="00FE686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57767799" w14:textId="226CAD26" w:rsidR="00FE6866" w:rsidRPr="007F611B" w:rsidRDefault="00FE6866" w:rsidP="00FE6866">
      <w:pPr>
        <w:spacing w:line="360" w:lineRule="auto"/>
        <w:jc w:val="both"/>
        <w:rPr>
          <w:rFonts w:ascii="Times New Roman" w:hAnsi="Times New Roman" w:cs="Times New Roman"/>
        </w:rPr>
      </w:pPr>
      <w:r w:rsidRPr="007F611B">
        <w:rPr>
          <w:rFonts w:ascii="Times New Roman" w:hAnsi="Times New Roman" w:cs="Times New Roman"/>
          <w:b/>
          <w:bCs/>
        </w:rPr>
        <w:t>Introduction:</w:t>
      </w:r>
      <w:r w:rsidRPr="007F611B">
        <w:rPr>
          <w:rFonts w:ascii="Times New Roman" w:hAnsi="Times New Roman" w:cs="Times New Roman"/>
        </w:rPr>
        <w:t xml:space="preserve"> Numerous scoring systems have been created to predict the risk of morbidity and mortality in patients undergoing Emergency General Surgery. </w:t>
      </w:r>
    </w:p>
    <w:p w14:paraId="76D7002C" w14:textId="77777777" w:rsidR="00FE6866" w:rsidRPr="007F611B" w:rsidRDefault="00FE6866" w:rsidP="00FE6866">
      <w:pPr>
        <w:spacing w:line="360" w:lineRule="auto"/>
        <w:jc w:val="both"/>
        <w:rPr>
          <w:rFonts w:ascii="Times New Roman" w:hAnsi="Times New Roman" w:cs="Times New Roman"/>
        </w:rPr>
      </w:pPr>
      <w:r w:rsidRPr="007F611B">
        <w:rPr>
          <w:rFonts w:ascii="Times New Roman" w:hAnsi="Times New Roman" w:cs="Times New Roman"/>
        </w:rPr>
        <w:t xml:space="preserve">In this paper, we compared the different scoring systems utilised at </w:t>
      </w:r>
      <w:proofErr w:type="spellStart"/>
      <w:r w:rsidRPr="007F611B">
        <w:rPr>
          <w:rFonts w:ascii="Times New Roman" w:hAnsi="Times New Roman" w:cs="Times New Roman"/>
        </w:rPr>
        <w:t>Humanitas</w:t>
      </w:r>
      <w:proofErr w:type="spellEnd"/>
      <w:r w:rsidRPr="007F611B">
        <w:rPr>
          <w:rFonts w:ascii="Times New Roman" w:hAnsi="Times New Roman" w:cs="Times New Roman"/>
        </w:rPr>
        <w:t xml:space="preserve"> Research Hospital and analysed which one performed the best when assessing geriatric patients (&gt;65 years of age). The scoring systems that were utilised were the APACHE II, ASA, ACS-NSQIP, Clinical Frailty Score and the </w:t>
      </w:r>
      <w:proofErr w:type="spellStart"/>
      <w:r w:rsidRPr="007F611B">
        <w:rPr>
          <w:rFonts w:ascii="Times New Roman" w:hAnsi="Times New Roman" w:cs="Times New Roman"/>
        </w:rPr>
        <w:t>Clavien</w:t>
      </w:r>
      <w:proofErr w:type="spellEnd"/>
      <w:r w:rsidRPr="007F611B">
        <w:rPr>
          <w:rFonts w:ascii="Times New Roman" w:hAnsi="Times New Roman" w:cs="Times New Roman"/>
        </w:rPr>
        <w:t xml:space="preserve"> </w:t>
      </w:r>
      <w:proofErr w:type="spellStart"/>
      <w:r w:rsidRPr="007F611B">
        <w:rPr>
          <w:rFonts w:ascii="Times New Roman" w:hAnsi="Times New Roman" w:cs="Times New Roman"/>
        </w:rPr>
        <w:t>Dindo</w:t>
      </w:r>
      <w:proofErr w:type="spellEnd"/>
      <w:r w:rsidRPr="007F611B">
        <w:rPr>
          <w:rFonts w:ascii="Times New Roman" w:hAnsi="Times New Roman" w:cs="Times New Roman"/>
        </w:rPr>
        <w:t xml:space="preserve"> as control.</w:t>
      </w:r>
    </w:p>
    <w:p w14:paraId="312E7ECA" w14:textId="77777777" w:rsidR="00FE6866" w:rsidRPr="007F611B" w:rsidRDefault="00FE6866" w:rsidP="00FE6866">
      <w:pPr>
        <w:spacing w:line="360" w:lineRule="auto"/>
        <w:jc w:val="both"/>
        <w:rPr>
          <w:rFonts w:ascii="Times New Roman" w:hAnsi="Times New Roman" w:cs="Times New Roman"/>
        </w:rPr>
      </w:pPr>
    </w:p>
    <w:p w14:paraId="5FC2C6F3" w14:textId="77777777" w:rsidR="00FE6866" w:rsidRPr="007F611B" w:rsidRDefault="00FE6866" w:rsidP="00FE6866">
      <w:pPr>
        <w:spacing w:line="360" w:lineRule="auto"/>
        <w:jc w:val="both"/>
        <w:rPr>
          <w:rFonts w:ascii="Times New Roman" w:hAnsi="Times New Roman" w:cs="Times New Roman"/>
        </w:rPr>
      </w:pPr>
      <w:r w:rsidRPr="007F611B">
        <w:rPr>
          <w:rFonts w:ascii="Times New Roman" w:hAnsi="Times New Roman" w:cs="Times New Roman"/>
          <w:b/>
          <w:bCs/>
        </w:rPr>
        <w:t xml:space="preserve">Materials and Methods: </w:t>
      </w:r>
      <w:r w:rsidRPr="007F611B">
        <w:rPr>
          <w:rFonts w:ascii="Times New Roman" w:hAnsi="Times New Roman" w:cs="Times New Roman"/>
        </w:rPr>
        <w:t>We compiled a database consisting of all patients over the age of 65 who underwent EGS in a consecutive 24-month period between 01/01/2017 and 31/12/2018. We used the biostatistical program 'Stata Version 15' to analyse our results.</w:t>
      </w:r>
    </w:p>
    <w:p w14:paraId="4E5741A0" w14:textId="77777777" w:rsidR="00FE6866" w:rsidRPr="007F611B" w:rsidRDefault="00FE6866" w:rsidP="00FE6866">
      <w:pPr>
        <w:spacing w:line="360" w:lineRule="auto"/>
        <w:jc w:val="both"/>
        <w:rPr>
          <w:rFonts w:ascii="Times New Roman" w:hAnsi="Times New Roman" w:cs="Times New Roman"/>
        </w:rPr>
      </w:pPr>
    </w:p>
    <w:p w14:paraId="047D7FCE" w14:textId="77777777" w:rsidR="00FE6866" w:rsidRPr="007F611B" w:rsidRDefault="00FE6866" w:rsidP="00FE686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F611B">
        <w:rPr>
          <w:rFonts w:ascii="Times New Roman" w:hAnsi="Times New Roman" w:cs="Times New Roman"/>
          <w:b/>
          <w:bCs/>
        </w:rPr>
        <w:t xml:space="preserve">Results: </w:t>
      </w:r>
      <w:r w:rsidRPr="007F611B">
        <w:rPr>
          <w:rFonts w:ascii="Times New Roman" w:hAnsi="Times New Roman" w:cs="Times New Roman"/>
        </w:rPr>
        <w:t>We found 213 patients who matched our inclusion criteria. Regarding death, we found that the ACS-NSQIP Death calculator performed the best with an area under the curve 0.9017 (OR 1.09, 95% CI 1.06-1.12).</w:t>
      </w:r>
      <w:r w:rsidRPr="007F611B">
        <w:rPr>
          <w:rFonts w:ascii="Times New Roman" w:hAnsi="Times New Roman" w:cs="Times New Roman"/>
          <w:b/>
          <w:bCs/>
        </w:rPr>
        <w:t xml:space="preserve"> </w:t>
      </w:r>
      <w:r w:rsidRPr="007F611B">
        <w:rPr>
          <w:rFonts w:ascii="Times New Roman" w:hAnsi="Times New Roman" w:cs="Times New Roman"/>
        </w:rPr>
        <w:t>The</w:t>
      </w:r>
      <w:r w:rsidRPr="007F611B">
        <w:rPr>
          <w:rFonts w:ascii="Times New Roman" w:hAnsi="Times New Roman" w:cs="Times New Roman"/>
          <w:b/>
          <w:bCs/>
        </w:rPr>
        <w:t xml:space="preserve"> </w:t>
      </w:r>
      <w:r w:rsidRPr="007F611B">
        <w:rPr>
          <w:rFonts w:ascii="Times New Roman" w:hAnsi="Times New Roman" w:cs="Times New Roman"/>
          <w:color w:val="000000" w:themeColor="text1"/>
        </w:rPr>
        <w:t xml:space="preserve">APACHE II score had the lowest discriminator when predicting death. </w:t>
      </w:r>
      <w:r w:rsidRPr="007F611B">
        <w:rPr>
          <w:rFonts w:ascii="Times New Roman" w:hAnsi="Times New Roman" w:cs="Times New Roman"/>
        </w:rPr>
        <w:t xml:space="preserve">Considering short-term complications, </w:t>
      </w:r>
      <w:proofErr w:type="spellStart"/>
      <w:r w:rsidRPr="007F611B">
        <w:rPr>
          <w:rFonts w:ascii="Times New Roman" w:hAnsi="Times New Roman" w:cs="Times New Roman"/>
        </w:rPr>
        <w:t>Clavien</w:t>
      </w:r>
      <w:proofErr w:type="spellEnd"/>
      <w:r w:rsidRPr="007F611B">
        <w:rPr>
          <w:rFonts w:ascii="Times New Roman" w:hAnsi="Times New Roman" w:cs="Times New Roman"/>
        </w:rPr>
        <w:t xml:space="preserve"> </w:t>
      </w:r>
      <w:proofErr w:type="spellStart"/>
      <w:r w:rsidRPr="007F611B">
        <w:rPr>
          <w:rFonts w:ascii="Times New Roman" w:hAnsi="Times New Roman" w:cs="Times New Roman"/>
        </w:rPr>
        <w:t>Dindo</w:t>
      </w:r>
      <w:proofErr w:type="spellEnd"/>
      <w:r w:rsidRPr="007F611B">
        <w:rPr>
          <w:rFonts w:ascii="Times New Roman" w:hAnsi="Times New Roman" w:cs="Times New Roman"/>
        </w:rPr>
        <w:t xml:space="preserve"> classification score highly while both</w:t>
      </w:r>
      <w:r w:rsidRPr="007F611B">
        <w:rPr>
          <w:rFonts w:ascii="Times New Roman" w:hAnsi="Times New Roman" w:cs="Times New Roman"/>
          <w:color w:val="000000" w:themeColor="text1"/>
        </w:rPr>
        <w:t xml:space="preserve"> the APACHE II score and </w:t>
      </w:r>
      <w:r w:rsidRPr="007F611B">
        <w:rPr>
          <w:rFonts w:ascii="Times New Roman" w:hAnsi="Times New Roman" w:cs="Times New Roman"/>
        </w:rPr>
        <w:t xml:space="preserve">clinical frailty score produced the lowest results. </w:t>
      </w:r>
    </w:p>
    <w:p w14:paraId="5D9CABCB" w14:textId="77777777" w:rsidR="00FE6866" w:rsidRPr="007F611B" w:rsidRDefault="00FE6866" w:rsidP="00FE6866">
      <w:pPr>
        <w:spacing w:line="360" w:lineRule="auto"/>
        <w:jc w:val="both"/>
        <w:rPr>
          <w:rFonts w:ascii="Times New Roman" w:hAnsi="Times New Roman" w:cs="Times New Roman"/>
        </w:rPr>
      </w:pPr>
    </w:p>
    <w:p w14:paraId="5E778028" w14:textId="77777777" w:rsidR="00FE6866" w:rsidRPr="007F611B" w:rsidRDefault="00FE6866" w:rsidP="00FE6866">
      <w:pPr>
        <w:spacing w:line="360" w:lineRule="auto"/>
        <w:jc w:val="both"/>
        <w:rPr>
          <w:rFonts w:ascii="Times New Roman" w:hAnsi="Times New Roman" w:cs="Times New Roman"/>
        </w:rPr>
      </w:pPr>
      <w:r w:rsidRPr="007F611B">
        <w:rPr>
          <w:rFonts w:ascii="Times New Roman" w:hAnsi="Times New Roman" w:cs="Times New Roman"/>
          <w:b/>
          <w:bCs/>
        </w:rPr>
        <w:t>Conclusion:</w:t>
      </w:r>
      <w:r w:rsidRPr="007F611B">
        <w:rPr>
          <w:rFonts w:ascii="Times New Roman" w:hAnsi="Times New Roman" w:cs="Times New Roman"/>
        </w:rPr>
        <w:t xml:space="preserve"> The results obtained from our research showed that scoring systems and classifications produced different results depending on whether they were used to predict deaths or short-term complications among geriatric patients undergoing emergency general surgery. </w:t>
      </w:r>
    </w:p>
    <w:p w14:paraId="6738FF2E" w14:textId="31B06097" w:rsidR="00FE6866" w:rsidRDefault="00FE6866"/>
    <w:p w14:paraId="56763DFF" w14:textId="32596445" w:rsidR="00FE6866" w:rsidRDefault="00FE6866">
      <w:r>
        <w:t>Recent publications:</w:t>
      </w:r>
    </w:p>
    <w:p w14:paraId="2A6879AB" w14:textId="2E7F54B2" w:rsidR="00FE6866" w:rsidRDefault="00FE6866"/>
    <w:p w14:paraId="01A83337" w14:textId="77777777" w:rsidR="00FE6866" w:rsidRPr="003723E7" w:rsidRDefault="00FE6866" w:rsidP="00FE6866">
      <w:pPr>
        <w:spacing w:line="276" w:lineRule="auto"/>
        <w:rPr>
          <w:rFonts w:ascii="Times New Roman" w:hAnsi="Times New Roman" w:cs="Times New Roman"/>
          <w:i/>
          <w:iCs/>
          <w:lang w:val="en-US"/>
        </w:rPr>
      </w:pPr>
      <w:r w:rsidRPr="00E8353B">
        <w:rPr>
          <w:rFonts w:ascii="System" w:eastAsia="Times New Roman" w:hAnsi="System" w:cs="Times New Roman"/>
          <w:color w:val="1E1E1E"/>
          <w:shd w:val="clear" w:color="auto" w:fill="FFFFFF"/>
          <w:lang w:val="en-GR" w:eastAsia="en-GB"/>
        </w:rPr>
        <w:lastRenderedPageBreak/>
        <w:t>•</w:t>
      </w:r>
      <w:r w:rsidRPr="003723E7">
        <w:rPr>
          <w:rFonts w:ascii="Times New Roman" w:hAnsi="Times New Roman" w:cs="Times New Roman"/>
        </w:rPr>
        <w:t xml:space="preserve"> “</w:t>
      </w:r>
      <w:r w:rsidRPr="003723E7">
        <w:rPr>
          <w:rFonts w:ascii="Times New Roman" w:hAnsi="Times New Roman" w:cs="Times New Roman"/>
          <w:lang w:val="en-GR"/>
        </w:rPr>
        <w:t>Short-Term Outcomes After COVID-19-Related Treatment Interruption Among Patients with Neovascular Age-Related Macular Degeneration Receiving Intravitreal Bevacizumab</w:t>
      </w:r>
      <w:r w:rsidRPr="003723E7">
        <w:rPr>
          <w:rFonts w:ascii="Times New Roman" w:hAnsi="Times New Roman" w:cs="Times New Roman"/>
          <w:lang w:val="en-US"/>
        </w:rPr>
        <w:t xml:space="preserve">”, 10/2021 </w:t>
      </w:r>
      <w:r w:rsidRPr="003723E7">
        <w:rPr>
          <w:rFonts w:ascii="Times New Roman" w:hAnsi="Times New Roman" w:cs="Times New Roman"/>
          <w:i/>
          <w:iCs/>
          <w:lang w:val="en-US"/>
        </w:rPr>
        <w:t xml:space="preserve">Clinical Ophthalmology </w:t>
      </w:r>
      <w:proofErr w:type="spellStart"/>
      <w:r w:rsidRPr="003723E7">
        <w:rPr>
          <w:rFonts w:ascii="Times New Roman" w:hAnsi="Times New Roman" w:cs="Times New Roman"/>
          <w:i/>
          <w:iCs/>
          <w:lang w:val="en-US"/>
        </w:rPr>
        <w:t>Dovepress</w:t>
      </w:r>
      <w:proofErr w:type="spellEnd"/>
      <w:r w:rsidRPr="003723E7">
        <w:rPr>
          <w:rFonts w:ascii="Times New Roman" w:hAnsi="Times New Roman" w:cs="Times New Roman"/>
          <w:i/>
          <w:iCs/>
          <w:lang w:val="en-US"/>
        </w:rPr>
        <w:t>.</w:t>
      </w:r>
      <w:r w:rsidRPr="003723E7">
        <w:rPr>
          <w:rFonts w:ascii="Times New Roman" w:hAnsi="Times New Roman" w:cs="Times New Roman"/>
          <w:i/>
          <w:iCs/>
          <w:lang w:val="en-US"/>
        </w:rPr>
        <w:br/>
      </w:r>
      <w:r w:rsidRPr="00E8353B">
        <w:rPr>
          <w:rFonts w:ascii="System" w:eastAsia="Times New Roman" w:hAnsi="System" w:cs="Times New Roman"/>
          <w:color w:val="1E1E1E"/>
          <w:shd w:val="clear" w:color="auto" w:fill="FFFFFF"/>
          <w:lang w:val="en-GR" w:eastAsia="en-GB"/>
        </w:rPr>
        <w:t>•</w:t>
      </w:r>
      <w:r w:rsidRPr="003723E7">
        <w:rPr>
          <w:rFonts w:ascii="Times New Roman" w:hAnsi="Times New Roman" w:cs="Times New Roman"/>
          <w:lang w:val="en-US"/>
        </w:rPr>
        <w:t xml:space="preserve"> “</w:t>
      </w:r>
      <w:r w:rsidRPr="003723E7">
        <w:rPr>
          <w:rFonts w:ascii="Times New Roman" w:hAnsi="Times New Roman" w:cs="Times New Roman"/>
          <w:lang w:val="en-GR"/>
        </w:rPr>
        <w:t>Congenital orbital teratoma: a case report with preservation of the globe and 18 years of follow-up</w:t>
      </w:r>
      <w:r w:rsidRPr="003723E7">
        <w:rPr>
          <w:rFonts w:ascii="Times New Roman" w:hAnsi="Times New Roman" w:cs="Times New Roman"/>
          <w:lang w:val="en-US"/>
        </w:rPr>
        <w:t xml:space="preserve">”, 12/2021 </w:t>
      </w:r>
      <w:r w:rsidRPr="003723E7">
        <w:rPr>
          <w:rFonts w:ascii="Times New Roman" w:hAnsi="Times New Roman" w:cs="Times New Roman"/>
          <w:i/>
          <w:iCs/>
          <w:lang w:val="en-US"/>
        </w:rPr>
        <w:t>BMC Ophthalmology.</w:t>
      </w:r>
    </w:p>
    <w:p w14:paraId="2CC1893E" w14:textId="77777777" w:rsidR="00FE6866" w:rsidRPr="003723E7" w:rsidRDefault="00FE6866" w:rsidP="00FE6866">
      <w:pPr>
        <w:spacing w:line="276" w:lineRule="auto"/>
        <w:rPr>
          <w:rFonts w:ascii="Times New Roman" w:hAnsi="Times New Roman" w:cs="Times New Roman"/>
          <w:i/>
          <w:iCs/>
          <w:lang w:val="en-US"/>
        </w:rPr>
      </w:pPr>
      <w:r w:rsidRPr="00E8353B">
        <w:rPr>
          <w:rFonts w:ascii="System" w:eastAsia="Times New Roman" w:hAnsi="System" w:cs="Times New Roman"/>
          <w:color w:val="1E1E1E"/>
          <w:shd w:val="clear" w:color="auto" w:fill="FFFFFF"/>
          <w:lang w:val="en-GR" w:eastAsia="en-GB"/>
        </w:rPr>
        <w:t>•</w:t>
      </w:r>
      <w:r w:rsidRPr="003723E7">
        <w:rPr>
          <w:rFonts w:ascii="Times New Roman" w:hAnsi="Times New Roman" w:cs="Times New Roman"/>
          <w:lang w:val="en-US"/>
        </w:rPr>
        <w:t xml:space="preserve"> “</w:t>
      </w:r>
      <w:r w:rsidRPr="003723E7">
        <w:rPr>
          <w:rFonts w:ascii="Times New Roman" w:hAnsi="Times New Roman" w:cs="Times New Roman"/>
          <w:lang w:val="en-GR"/>
        </w:rPr>
        <w:t>Where are we with RPE replacement therapy? A translational review from the ophthalmologist perspective</w:t>
      </w:r>
      <w:r w:rsidRPr="003723E7">
        <w:rPr>
          <w:rFonts w:ascii="Times New Roman" w:hAnsi="Times New Roman" w:cs="Times New Roman"/>
          <w:lang w:val="en-US"/>
        </w:rPr>
        <w:t xml:space="preserve">”, 01/2022 </w:t>
      </w:r>
      <w:r w:rsidRPr="003723E7">
        <w:rPr>
          <w:rFonts w:ascii="Times New Roman" w:hAnsi="Times New Roman" w:cs="Times New Roman"/>
          <w:i/>
          <w:iCs/>
          <w:lang w:val="en-US"/>
        </w:rPr>
        <w:t>International Journal of Molecular Sciences.</w:t>
      </w:r>
    </w:p>
    <w:p w14:paraId="17BAD536" w14:textId="77777777" w:rsidR="00FE6866" w:rsidRPr="00C11422" w:rsidRDefault="00FE6866" w:rsidP="00FE6866">
      <w:pPr>
        <w:spacing w:line="276" w:lineRule="auto"/>
        <w:rPr>
          <w:rFonts w:ascii="Times New Roman" w:hAnsi="Times New Roman" w:cs="Times New Roman"/>
          <w:lang w:val="en-US"/>
        </w:rPr>
      </w:pPr>
      <w:r w:rsidRPr="00E8353B">
        <w:rPr>
          <w:rFonts w:ascii="System" w:eastAsia="Times New Roman" w:hAnsi="System" w:cs="Times New Roman"/>
          <w:color w:val="1E1E1E"/>
          <w:shd w:val="clear" w:color="auto" w:fill="FFFFFF"/>
          <w:lang w:val="en-GR" w:eastAsia="en-GB"/>
        </w:rPr>
        <w:t>•</w:t>
      </w:r>
      <w:r w:rsidRPr="003723E7">
        <w:rPr>
          <w:rFonts w:ascii="Times New Roman" w:hAnsi="Times New Roman" w:cs="Times New Roman"/>
          <w:lang w:val="en-US"/>
        </w:rPr>
        <w:t xml:space="preserve"> “Curcumin in Retinal Diseases: A comprehensive review from bench to bedside”, 03/2022 </w:t>
      </w:r>
      <w:r w:rsidRPr="00C11422">
        <w:rPr>
          <w:rFonts w:ascii="Times New Roman" w:hAnsi="Times New Roman" w:cs="Times New Roman"/>
          <w:i/>
          <w:iCs/>
          <w:lang w:val="en-US"/>
        </w:rPr>
        <w:t>International Journal of Molecular Sciences.</w:t>
      </w:r>
      <w:r w:rsidRPr="00C11422">
        <w:rPr>
          <w:rFonts w:ascii="Times New Roman" w:hAnsi="Times New Roman" w:cs="Times New Roman"/>
          <w:lang w:val="en-US"/>
        </w:rPr>
        <w:t xml:space="preserve"> </w:t>
      </w:r>
    </w:p>
    <w:p w14:paraId="759234BF" w14:textId="77777777" w:rsidR="00FE6866" w:rsidRPr="00C11422" w:rsidRDefault="00FE6866" w:rsidP="00FE6866">
      <w:pPr>
        <w:spacing w:line="276" w:lineRule="auto"/>
        <w:rPr>
          <w:rFonts w:ascii="Times New Roman" w:hAnsi="Times New Roman" w:cs="Times New Roman"/>
          <w:lang w:val="en-US"/>
        </w:rPr>
      </w:pPr>
      <w:r w:rsidRPr="00E8353B">
        <w:rPr>
          <w:rFonts w:ascii="System" w:eastAsia="Times New Roman" w:hAnsi="System" w:cs="Times New Roman"/>
          <w:color w:val="1E1E1E"/>
          <w:shd w:val="clear" w:color="auto" w:fill="FFFFFF"/>
          <w:lang w:val="en-GR" w:eastAsia="en-GB"/>
        </w:rPr>
        <w:t>•</w:t>
      </w:r>
      <w:r w:rsidRPr="00C11422">
        <w:rPr>
          <w:rFonts w:ascii="Times New Roman" w:hAnsi="Times New Roman" w:cs="Times New Roman"/>
          <w:lang w:val="en-US"/>
        </w:rPr>
        <w:t xml:space="preserve"> “</w:t>
      </w:r>
      <w:r w:rsidRPr="00C11422">
        <w:rPr>
          <w:rFonts w:ascii="Times New Roman" w:hAnsi="Times New Roman" w:cs="Times New Roman"/>
          <w:lang w:val="en-GR"/>
        </w:rPr>
        <w:t>Three-Year Follow-up of a 2-Year-Old Patient with Scleral-Fixated Carlevale Intraocular Lens Implantation</w:t>
      </w:r>
      <w:r w:rsidRPr="00C11422">
        <w:rPr>
          <w:rFonts w:ascii="Times New Roman" w:hAnsi="Times New Roman" w:cs="Times New Roman"/>
          <w:lang w:val="en-US"/>
        </w:rPr>
        <w:t xml:space="preserve">”, 05/2022 </w:t>
      </w:r>
      <w:r w:rsidRPr="00C11422">
        <w:rPr>
          <w:rFonts w:ascii="Times New Roman" w:hAnsi="Times New Roman" w:cs="Times New Roman"/>
          <w:i/>
          <w:iCs/>
          <w:lang w:val="en-GR"/>
        </w:rPr>
        <w:t>Ophthalmic Surgery, Lasers &amp; Imaging Retina</w:t>
      </w:r>
      <w:r>
        <w:rPr>
          <w:rFonts w:ascii="Times New Roman" w:hAnsi="Times New Roman" w:cs="Times New Roman"/>
          <w:lang w:val="en-US"/>
        </w:rPr>
        <w:t>.</w:t>
      </w:r>
    </w:p>
    <w:p w14:paraId="04FE6775" w14:textId="77777777" w:rsidR="00FE6866" w:rsidRDefault="00FE6866" w:rsidP="00FE6866">
      <w:pPr>
        <w:spacing w:line="276" w:lineRule="auto"/>
        <w:rPr>
          <w:rFonts w:ascii="Times New Roman" w:hAnsi="Times New Roman" w:cs="Times New Roman"/>
          <w:lang w:val="en-US"/>
        </w:rPr>
      </w:pPr>
      <w:r w:rsidRPr="00E8353B">
        <w:rPr>
          <w:rFonts w:ascii="System" w:eastAsia="Times New Roman" w:hAnsi="System" w:cs="Times New Roman"/>
          <w:color w:val="1E1E1E"/>
          <w:shd w:val="clear" w:color="auto" w:fill="FFFFFF"/>
          <w:lang w:val="en-GR" w:eastAsia="en-GB"/>
        </w:rPr>
        <w:t>•</w:t>
      </w:r>
      <w:r w:rsidRPr="003723E7">
        <w:rPr>
          <w:rFonts w:ascii="Times New Roman" w:hAnsi="Times New Roman" w:cs="Times New Roman"/>
          <w:lang w:val="en-US"/>
        </w:rPr>
        <w:t xml:space="preserve"> “</w:t>
      </w:r>
      <w:r w:rsidRPr="003723E7">
        <w:rPr>
          <w:rFonts w:ascii="Times New Roman" w:hAnsi="Times New Roman" w:cs="Times New Roman"/>
          <w:lang w:val="en-GR"/>
        </w:rPr>
        <w:t>Emergency general surgery: Predicting morbidity and mortality in the geriatric population</w:t>
      </w:r>
      <w:r w:rsidRPr="003723E7">
        <w:rPr>
          <w:rFonts w:ascii="Times New Roman" w:hAnsi="Times New Roman" w:cs="Times New Roman"/>
          <w:lang w:val="en-US"/>
        </w:rPr>
        <w:t>”, 0</w:t>
      </w:r>
      <w:r>
        <w:rPr>
          <w:rFonts w:ascii="Times New Roman" w:hAnsi="Times New Roman" w:cs="Times New Roman"/>
          <w:lang w:val="en-US"/>
        </w:rPr>
        <w:t>9</w:t>
      </w:r>
      <w:r w:rsidRPr="003723E7">
        <w:rPr>
          <w:rFonts w:ascii="Times New Roman" w:hAnsi="Times New Roman" w:cs="Times New Roman"/>
          <w:lang w:val="en-US"/>
        </w:rPr>
        <w:t xml:space="preserve">/2022 </w:t>
      </w:r>
      <w:r w:rsidRPr="003723E7">
        <w:rPr>
          <w:rFonts w:ascii="Times New Roman" w:hAnsi="Times New Roman" w:cs="Times New Roman"/>
          <w:i/>
          <w:iCs/>
          <w:lang w:val="en-US"/>
        </w:rPr>
        <w:t>The Surgery journal</w:t>
      </w:r>
    </w:p>
    <w:p w14:paraId="65E0F1C6" w14:textId="15959E12" w:rsidR="00FE6866" w:rsidRDefault="00FE6866">
      <w:pPr>
        <w:rPr>
          <w:lang w:val="en-US"/>
        </w:rPr>
      </w:pPr>
    </w:p>
    <w:p w14:paraId="27DDC400" w14:textId="01E5FE61" w:rsidR="00FE6866" w:rsidRDefault="00FE6866">
      <w:pPr>
        <w:rPr>
          <w:lang w:val="en-US"/>
        </w:rPr>
      </w:pPr>
      <w:r>
        <w:rPr>
          <w:lang w:val="en-US"/>
        </w:rPr>
        <w:t>Biography:</w:t>
      </w:r>
    </w:p>
    <w:p w14:paraId="7898D9B0" w14:textId="368C2BD6" w:rsidR="00FE6866" w:rsidRDefault="00FE6866">
      <w:pPr>
        <w:rPr>
          <w:bCs/>
          <w:lang w:val="en-GB"/>
        </w:rPr>
      </w:pPr>
      <w:r>
        <w:rPr>
          <w:lang w:val="en-US"/>
        </w:rPr>
        <w:t xml:space="preserve">Panagiotis </w:t>
      </w:r>
      <w:proofErr w:type="spellStart"/>
      <w:r>
        <w:rPr>
          <w:lang w:val="en-US"/>
        </w:rPr>
        <w:t>Tsoutsanis</w:t>
      </w:r>
      <w:proofErr w:type="spellEnd"/>
      <w:r>
        <w:rPr>
          <w:lang w:val="en-US"/>
        </w:rPr>
        <w:t xml:space="preserve"> is currently working as </w:t>
      </w:r>
      <w:proofErr w:type="spellStart"/>
      <w:r>
        <w:rPr>
          <w:lang w:val="en-US"/>
        </w:rPr>
        <w:t>a</w:t>
      </w:r>
      <w:proofErr w:type="spellEnd"/>
      <w:r>
        <w:rPr>
          <w:lang w:val="en-US"/>
        </w:rPr>
        <w:t xml:space="preserve"> Junior Clinical Fellow in Ophthalmology </w:t>
      </w:r>
      <w:r w:rsidRPr="00FE6866">
        <w:rPr>
          <w:bCs/>
          <w:lang w:val="en-GB"/>
        </w:rPr>
        <w:t>at Rochdale Infirmary (Northern Care Alliance NHS Foundation Trust), Rochdale, UK.</w:t>
      </w:r>
      <w:r>
        <w:rPr>
          <w:bCs/>
          <w:lang w:val="en-GB"/>
        </w:rPr>
        <w:t xml:space="preserve"> He obtained his medical degree (MD) from </w:t>
      </w:r>
      <w:proofErr w:type="spellStart"/>
      <w:r>
        <w:rPr>
          <w:bCs/>
          <w:lang w:val="en-GB"/>
        </w:rPr>
        <w:t>Humanitas</w:t>
      </w:r>
      <w:proofErr w:type="spellEnd"/>
      <w:r>
        <w:rPr>
          <w:bCs/>
          <w:lang w:val="en-GB"/>
        </w:rPr>
        <w:t xml:space="preserve"> University in Milan, Italy. He has previously worked as </w:t>
      </w:r>
      <w:proofErr w:type="gramStart"/>
      <w:r>
        <w:rPr>
          <w:bCs/>
          <w:lang w:val="en-GB"/>
        </w:rPr>
        <w:t>an</w:t>
      </w:r>
      <w:proofErr w:type="gramEnd"/>
      <w:r>
        <w:rPr>
          <w:bCs/>
          <w:lang w:val="en-GB"/>
        </w:rPr>
        <w:t xml:space="preserve"> Foundation year 1 doctor and Foundation year 2 doctor in Raigmore hospital and Ipswich hospital respectively. </w:t>
      </w:r>
    </w:p>
    <w:p w14:paraId="3A7A7AFF" w14:textId="07CD62B4" w:rsidR="00FE6866" w:rsidRDefault="00FE6866">
      <w:pPr>
        <w:rPr>
          <w:bCs/>
          <w:lang w:val="en-GB"/>
        </w:rPr>
      </w:pPr>
    </w:p>
    <w:p w14:paraId="6D50539A" w14:textId="0DC4E920" w:rsidR="00FE6866" w:rsidRPr="00FE6866" w:rsidRDefault="00FE6866">
      <w:pPr>
        <w:rPr>
          <w:lang w:val="en-US"/>
        </w:rPr>
      </w:pPr>
      <w:r>
        <w:rPr>
          <w:bCs/>
          <w:lang w:val="en-GB"/>
        </w:rPr>
        <w:t>Email: tpanos02@gmail.com</w:t>
      </w:r>
    </w:p>
    <w:sectPr w:rsidR="00FE6866" w:rsidRPr="00FE68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stem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511315"/>
    <w:multiLevelType w:val="hybridMultilevel"/>
    <w:tmpl w:val="46DA6910"/>
    <w:lvl w:ilvl="0" w:tplc="83ACD2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053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866"/>
    <w:rsid w:val="00FE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173C529"/>
  <w15:chartTrackingRefBased/>
  <w15:docId w15:val="{D2C68E0F-8FCB-F24A-B368-C7C55718C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866"/>
    <w:rPr>
      <w:lang w:val="en-I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68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Panagiotis Tsoutsanis</dc:creator>
  <cp:keywords/>
  <dc:description/>
  <cp:lastModifiedBy>Panagiotis Tsoutsanis</cp:lastModifiedBy>
  <cp:revision>1</cp:revision>
  <dcterms:created xsi:type="dcterms:W3CDTF">2022-10-19T20:49:00Z</dcterms:created>
  <dcterms:modified xsi:type="dcterms:W3CDTF">2022-10-19T20:57:00Z</dcterms:modified>
</cp:coreProperties>
</file>