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F1F05" w14:textId="77777777" w:rsidR="00491A82" w:rsidRPr="007A012F" w:rsidRDefault="00831C9B" w:rsidP="00831C9B">
      <w:pPr>
        <w:rPr>
          <w:rFonts w:cstheme="minorHAnsi"/>
          <w:b/>
          <w:sz w:val="28"/>
          <w:szCs w:val="28"/>
          <w:lang w:val="en-US"/>
        </w:rPr>
      </w:pPr>
      <w:r w:rsidRPr="007A012F">
        <w:rPr>
          <w:rFonts w:cstheme="minorHAnsi"/>
          <w:b/>
          <w:sz w:val="28"/>
          <w:szCs w:val="28"/>
          <w:lang w:val="en-US"/>
        </w:rPr>
        <w:t>Title</w:t>
      </w:r>
      <w:r w:rsidR="002C5AA9" w:rsidRPr="007A012F">
        <w:rPr>
          <w:rFonts w:cstheme="minorHAnsi"/>
          <w:b/>
          <w:sz w:val="28"/>
          <w:szCs w:val="28"/>
          <w:lang w:val="en-US"/>
        </w:rPr>
        <w:t>:</w:t>
      </w:r>
    </w:p>
    <w:p w14:paraId="3B7CAAD7" w14:textId="57213871" w:rsidR="00831C9B" w:rsidRPr="007A012F" w:rsidRDefault="002C5AA9" w:rsidP="00831C9B">
      <w:pPr>
        <w:rPr>
          <w:rFonts w:cstheme="minorHAnsi"/>
          <w:bCs/>
          <w:sz w:val="28"/>
          <w:szCs w:val="28"/>
          <w:lang w:val="en-US"/>
        </w:rPr>
      </w:pPr>
      <w:r w:rsidRPr="007A012F">
        <w:rPr>
          <w:rFonts w:cstheme="minorHAnsi"/>
          <w:sz w:val="28"/>
          <w:szCs w:val="28"/>
        </w:rPr>
        <w:t xml:space="preserve"> </w:t>
      </w:r>
      <w:r w:rsidRPr="007A012F">
        <w:rPr>
          <w:rFonts w:cstheme="minorHAnsi"/>
          <w:bCs/>
          <w:sz w:val="28"/>
          <w:szCs w:val="28"/>
          <w:lang w:val="en-US"/>
        </w:rPr>
        <w:t>Evaluating the role of Gabapentin on incidence and severity of Paroxysmal Sympathetic Hyperactivity in Traumatic Brain Injury: a prospective randomized study</w:t>
      </w:r>
    </w:p>
    <w:p w14:paraId="38B2C81B" w14:textId="77777777" w:rsidR="004027CF" w:rsidRPr="007A012F" w:rsidRDefault="007A012F">
      <w:pPr>
        <w:rPr>
          <w:rFonts w:cstheme="minorHAnsi"/>
          <w:sz w:val="28"/>
          <w:szCs w:val="28"/>
        </w:rPr>
      </w:pPr>
    </w:p>
    <w:p w14:paraId="13D32AFD" w14:textId="7AC314D8" w:rsidR="00491A82" w:rsidRPr="007A012F" w:rsidRDefault="003B054A" w:rsidP="00831C9B">
      <w:pPr>
        <w:rPr>
          <w:rFonts w:cstheme="minorHAnsi"/>
          <w:b/>
          <w:sz w:val="28"/>
          <w:szCs w:val="28"/>
          <w:lang w:val="en-US"/>
        </w:rPr>
      </w:pPr>
      <w:r w:rsidRPr="007A012F">
        <w:rPr>
          <w:rFonts w:cstheme="minorHAnsi"/>
          <w:b/>
          <w:sz w:val="28"/>
          <w:szCs w:val="28"/>
          <w:lang w:val="en-US"/>
        </w:rPr>
        <w:t>Statement of the problem</w:t>
      </w:r>
    </w:p>
    <w:p w14:paraId="6D94C8F7" w14:textId="268BC989" w:rsidR="00831C9B" w:rsidRPr="007A012F" w:rsidRDefault="002C5AA9" w:rsidP="00831C9B">
      <w:pPr>
        <w:rPr>
          <w:rFonts w:cstheme="minorHAnsi"/>
          <w:bCs/>
          <w:sz w:val="28"/>
          <w:szCs w:val="28"/>
          <w:lang w:val="en-US"/>
        </w:rPr>
      </w:pPr>
      <w:r w:rsidRPr="007A012F">
        <w:rPr>
          <w:rFonts w:cstheme="minorHAnsi"/>
          <w:bCs/>
          <w:sz w:val="28"/>
          <w:szCs w:val="28"/>
          <w:lang w:val="en-US"/>
        </w:rPr>
        <w:t>Trauma is one of the most important causes of mortality in the younger population with traumatic brain injury accounting for almost 20-30% of deaths</w:t>
      </w:r>
      <w:r w:rsidR="00491A82" w:rsidRPr="007A012F">
        <w:rPr>
          <w:rFonts w:cstheme="minorHAnsi"/>
          <w:bCs/>
          <w:sz w:val="28"/>
          <w:szCs w:val="28"/>
          <w:lang w:val="en-US"/>
        </w:rPr>
        <w:t>.</w:t>
      </w:r>
      <w:r w:rsidRPr="007A012F">
        <w:rPr>
          <w:rFonts w:cstheme="minorHAnsi"/>
          <w:bCs/>
          <w:sz w:val="28"/>
          <w:szCs w:val="28"/>
          <w:lang w:val="en-US"/>
        </w:rPr>
        <w:t xml:space="preserve"> </w:t>
      </w:r>
      <w:r w:rsidRPr="007A012F">
        <w:rPr>
          <w:rFonts w:cstheme="minorHAnsi"/>
          <w:bCs/>
          <w:sz w:val="28"/>
          <w:szCs w:val="28"/>
        </w:rPr>
        <w:t xml:space="preserve"> </w:t>
      </w:r>
      <w:r w:rsidRPr="007A012F">
        <w:rPr>
          <w:rFonts w:cstheme="minorHAnsi"/>
          <w:bCs/>
          <w:sz w:val="28"/>
          <w:szCs w:val="28"/>
          <w:lang w:val="en-US"/>
        </w:rPr>
        <w:t xml:space="preserve">Globally, over 69 million people are estimated to suffer Traumatic brain injury (TBI) from all causes each year, with more than 4.7 million deaths annually </w:t>
      </w:r>
    </w:p>
    <w:p w14:paraId="5BBF60B0" w14:textId="180414E5" w:rsidR="0075583E" w:rsidRPr="007A012F" w:rsidRDefault="0075583E" w:rsidP="00831C9B">
      <w:pPr>
        <w:rPr>
          <w:rFonts w:cstheme="minorHAnsi"/>
          <w:bCs/>
          <w:sz w:val="28"/>
          <w:szCs w:val="28"/>
          <w:lang w:val="en-US"/>
        </w:rPr>
      </w:pPr>
      <w:r w:rsidRPr="007A012F">
        <w:rPr>
          <w:rFonts w:cstheme="minorHAnsi"/>
          <w:bCs/>
          <w:sz w:val="28"/>
          <w:szCs w:val="28"/>
          <w:lang w:val="en-US"/>
        </w:rPr>
        <w:t>Paroxysmal sympathetic hyperactivity (PSH) is a distinct syndrome of episodic sympathetic hyperactivities following severe acquired brain injury.</w:t>
      </w:r>
      <w:r w:rsidRPr="007A012F">
        <w:rPr>
          <w:rFonts w:cstheme="minorHAnsi"/>
          <w:sz w:val="28"/>
          <w:szCs w:val="28"/>
        </w:rPr>
        <w:t xml:space="preserve"> </w:t>
      </w:r>
      <w:r w:rsidRPr="007A012F">
        <w:rPr>
          <w:rFonts w:cstheme="minorHAnsi"/>
          <w:bCs/>
          <w:sz w:val="28"/>
          <w:szCs w:val="28"/>
          <w:lang w:val="en-US"/>
        </w:rPr>
        <w:t>It has been reported that 7.7–33% of traumatic brain injury patients in intensive care units (ICUs) suffer from this disorder</w:t>
      </w:r>
    </w:p>
    <w:p w14:paraId="748B2A5B" w14:textId="77777777" w:rsidR="002C5AA9" w:rsidRPr="007A012F" w:rsidRDefault="002C5AA9" w:rsidP="002C5AA9">
      <w:pPr>
        <w:rPr>
          <w:rFonts w:cstheme="minorHAnsi"/>
          <w:bCs/>
          <w:sz w:val="28"/>
          <w:szCs w:val="28"/>
          <w:lang w:val="en-US"/>
        </w:rPr>
      </w:pPr>
      <w:r w:rsidRPr="007A012F">
        <w:rPr>
          <w:rFonts w:cstheme="minorHAnsi"/>
          <w:bCs/>
          <w:sz w:val="28"/>
          <w:szCs w:val="28"/>
          <w:lang w:val="en-US"/>
        </w:rPr>
        <w:t>• PRIMARY AIM:  To study the effects of Gabapentin in the prevention of PSH (Paroxysmal Sympathetic Hyperactivity) in traumatic brain injury patients</w:t>
      </w:r>
    </w:p>
    <w:p w14:paraId="78E0BF43" w14:textId="77777777" w:rsidR="002C5AA9" w:rsidRPr="007A012F" w:rsidRDefault="002C5AA9" w:rsidP="002C5AA9">
      <w:pPr>
        <w:rPr>
          <w:rFonts w:cstheme="minorHAnsi"/>
          <w:bCs/>
          <w:sz w:val="28"/>
          <w:szCs w:val="28"/>
          <w:lang w:val="en-US"/>
        </w:rPr>
      </w:pPr>
      <w:r w:rsidRPr="007A012F">
        <w:rPr>
          <w:rFonts w:cstheme="minorHAnsi"/>
          <w:bCs/>
          <w:sz w:val="28"/>
          <w:szCs w:val="28"/>
          <w:lang w:val="en-US"/>
        </w:rPr>
        <w:t>• SECONDARY AIM:</w:t>
      </w:r>
    </w:p>
    <w:p w14:paraId="611667C5" w14:textId="77777777" w:rsidR="002C5AA9" w:rsidRPr="007A012F" w:rsidRDefault="002C5AA9" w:rsidP="002C5AA9">
      <w:pPr>
        <w:rPr>
          <w:rFonts w:cstheme="minorHAnsi"/>
          <w:bCs/>
          <w:sz w:val="28"/>
          <w:szCs w:val="28"/>
          <w:lang w:val="en-US"/>
        </w:rPr>
      </w:pPr>
      <w:r w:rsidRPr="007A012F">
        <w:rPr>
          <w:rFonts w:cstheme="minorHAnsi"/>
          <w:bCs/>
          <w:sz w:val="28"/>
          <w:szCs w:val="28"/>
          <w:lang w:val="en-US"/>
        </w:rPr>
        <w:t xml:space="preserve">  1. To study the effects of Gabapentin on GCS (Glasgow Coma Scale), GOS (Glasgow Outcome Scale)</w:t>
      </w:r>
    </w:p>
    <w:p w14:paraId="2848A74B" w14:textId="3397E947" w:rsidR="002C5AA9" w:rsidRPr="007A012F" w:rsidRDefault="002C5AA9" w:rsidP="002C5AA9">
      <w:pPr>
        <w:rPr>
          <w:rFonts w:cstheme="minorHAnsi"/>
          <w:bCs/>
          <w:sz w:val="28"/>
          <w:szCs w:val="28"/>
          <w:lang w:val="en-US"/>
        </w:rPr>
      </w:pPr>
      <w:r w:rsidRPr="007A012F">
        <w:rPr>
          <w:rFonts w:cstheme="minorHAnsi"/>
          <w:bCs/>
          <w:sz w:val="28"/>
          <w:szCs w:val="28"/>
          <w:lang w:val="en-US"/>
        </w:rPr>
        <w:t xml:space="preserve">  2. To study any side effects associated with Gabapentin</w:t>
      </w:r>
    </w:p>
    <w:p w14:paraId="7FEE98D3" w14:textId="77777777" w:rsidR="00831C9B" w:rsidRPr="007A012F" w:rsidRDefault="00831C9B">
      <w:pPr>
        <w:rPr>
          <w:rFonts w:cstheme="minorHAnsi"/>
          <w:sz w:val="28"/>
          <w:szCs w:val="28"/>
        </w:rPr>
      </w:pPr>
    </w:p>
    <w:p w14:paraId="37150198" w14:textId="77777777" w:rsidR="00E56FCA" w:rsidRPr="007A012F" w:rsidRDefault="00831C9B" w:rsidP="002C5AA9">
      <w:pPr>
        <w:rPr>
          <w:rFonts w:cstheme="minorHAnsi"/>
          <w:sz w:val="28"/>
          <w:szCs w:val="28"/>
        </w:rPr>
      </w:pPr>
      <w:r w:rsidRPr="007A012F">
        <w:rPr>
          <w:rFonts w:cstheme="minorHAnsi"/>
          <w:b/>
          <w:sz w:val="28"/>
          <w:szCs w:val="28"/>
          <w:lang w:val="en-US"/>
        </w:rPr>
        <w:t>Materials and methods</w:t>
      </w:r>
      <w:r w:rsidR="002C5AA9" w:rsidRPr="007A012F">
        <w:rPr>
          <w:rFonts w:cstheme="minorHAnsi"/>
          <w:sz w:val="28"/>
          <w:szCs w:val="28"/>
        </w:rPr>
        <w:t xml:space="preserve"> </w:t>
      </w:r>
    </w:p>
    <w:p w14:paraId="6B9B5F81" w14:textId="3378A9C0" w:rsidR="002C5AA9" w:rsidRPr="007A012F" w:rsidRDefault="002C5AA9" w:rsidP="002C5AA9">
      <w:pPr>
        <w:rPr>
          <w:rFonts w:cstheme="minorHAnsi"/>
          <w:bCs/>
          <w:sz w:val="28"/>
          <w:szCs w:val="28"/>
          <w:lang w:val="en-US"/>
        </w:rPr>
      </w:pPr>
      <w:r w:rsidRPr="007A012F">
        <w:rPr>
          <w:rFonts w:cstheme="minorHAnsi"/>
          <w:bCs/>
          <w:sz w:val="28"/>
          <w:szCs w:val="28"/>
          <w:lang w:val="en-US"/>
        </w:rPr>
        <w:t>Randomized, Parallel-Group, Placebo-Controlled Trial</w:t>
      </w:r>
    </w:p>
    <w:p w14:paraId="4ACE987C" w14:textId="0E49329F" w:rsidR="00831C9B" w:rsidRPr="007A012F" w:rsidRDefault="002C5AA9" w:rsidP="002C5AA9">
      <w:pPr>
        <w:rPr>
          <w:rFonts w:cstheme="minorHAnsi"/>
          <w:bCs/>
          <w:sz w:val="28"/>
          <w:szCs w:val="28"/>
          <w:lang w:val="en-US"/>
        </w:rPr>
      </w:pPr>
      <w:r w:rsidRPr="007A012F">
        <w:rPr>
          <w:rFonts w:cstheme="minorHAnsi"/>
          <w:bCs/>
          <w:sz w:val="28"/>
          <w:szCs w:val="28"/>
          <w:lang w:val="en-US"/>
        </w:rPr>
        <w:t>60 Patients were divided into study {n = 50} and control groups {n = 50} with simple randomization. Gabapentin oral tablets in a dose of 300mg BD w</w:t>
      </w:r>
      <w:r w:rsidR="00491A82" w:rsidRPr="007A012F">
        <w:rPr>
          <w:rFonts w:cstheme="minorHAnsi"/>
          <w:bCs/>
          <w:sz w:val="28"/>
          <w:szCs w:val="28"/>
          <w:lang w:val="en-US"/>
        </w:rPr>
        <w:t>as given</w:t>
      </w:r>
      <w:r w:rsidRPr="007A012F">
        <w:rPr>
          <w:rFonts w:cstheme="minorHAnsi"/>
          <w:bCs/>
          <w:sz w:val="28"/>
          <w:szCs w:val="28"/>
          <w:lang w:val="en-US"/>
        </w:rPr>
        <w:t xml:space="preserve"> within 24 hours of ICU admission in the study group. Multivitamin tablets A to Z w</w:t>
      </w:r>
      <w:r w:rsidR="00491A82" w:rsidRPr="007A012F">
        <w:rPr>
          <w:rFonts w:cstheme="minorHAnsi"/>
          <w:bCs/>
          <w:sz w:val="28"/>
          <w:szCs w:val="28"/>
          <w:lang w:val="en-US"/>
        </w:rPr>
        <w:t>as</w:t>
      </w:r>
      <w:r w:rsidRPr="007A012F">
        <w:rPr>
          <w:rFonts w:cstheme="minorHAnsi"/>
          <w:bCs/>
          <w:sz w:val="28"/>
          <w:szCs w:val="28"/>
          <w:lang w:val="en-US"/>
        </w:rPr>
        <w:t xml:space="preserve"> given in BD doses to the control group</w:t>
      </w:r>
    </w:p>
    <w:p w14:paraId="4214FF69" w14:textId="77777777" w:rsidR="0075583E" w:rsidRPr="007A012F" w:rsidRDefault="0075583E" w:rsidP="00831C9B">
      <w:pPr>
        <w:rPr>
          <w:rFonts w:cstheme="minorHAnsi"/>
          <w:b/>
          <w:sz w:val="28"/>
          <w:szCs w:val="28"/>
          <w:lang w:val="en-US"/>
        </w:rPr>
      </w:pPr>
    </w:p>
    <w:p w14:paraId="56E4E80B" w14:textId="77777777" w:rsidR="0075583E" w:rsidRPr="007A012F" w:rsidRDefault="0075583E" w:rsidP="00831C9B">
      <w:pPr>
        <w:rPr>
          <w:rFonts w:cstheme="minorHAnsi"/>
          <w:b/>
          <w:sz w:val="28"/>
          <w:szCs w:val="28"/>
          <w:lang w:val="en-US"/>
        </w:rPr>
      </w:pPr>
    </w:p>
    <w:p w14:paraId="76145CCF" w14:textId="77777777" w:rsidR="00200389" w:rsidRPr="007A012F" w:rsidRDefault="00200389" w:rsidP="00831C9B">
      <w:pPr>
        <w:rPr>
          <w:rFonts w:cstheme="minorHAnsi"/>
          <w:b/>
          <w:sz w:val="28"/>
          <w:szCs w:val="28"/>
          <w:lang w:val="en-US"/>
        </w:rPr>
      </w:pPr>
    </w:p>
    <w:p w14:paraId="38083CD8" w14:textId="2927C745" w:rsidR="001C40C4" w:rsidRPr="007A012F" w:rsidRDefault="00831C9B" w:rsidP="00831C9B">
      <w:pPr>
        <w:rPr>
          <w:rFonts w:cstheme="minorHAnsi"/>
          <w:b/>
          <w:sz w:val="28"/>
          <w:szCs w:val="28"/>
          <w:lang w:val="en-US"/>
        </w:rPr>
      </w:pPr>
      <w:r w:rsidRPr="007A012F">
        <w:rPr>
          <w:rFonts w:cstheme="minorHAnsi"/>
          <w:b/>
          <w:sz w:val="28"/>
          <w:szCs w:val="28"/>
          <w:lang w:val="en-US"/>
        </w:rPr>
        <w:lastRenderedPageBreak/>
        <w:t>Result</w:t>
      </w:r>
      <w:r w:rsidR="001C40C4" w:rsidRPr="007A012F">
        <w:rPr>
          <w:rFonts w:cstheme="minorHAnsi"/>
          <w:b/>
          <w:sz w:val="28"/>
          <w:szCs w:val="28"/>
          <w:lang w:val="en-US"/>
        </w:rPr>
        <w:t>:</w:t>
      </w:r>
    </w:p>
    <w:p w14:paraId="0DC0432B" w14:textId="5532A2A2" w:rsidR="003B054A" w:rsidRPr="007A012F" w:rsidRDefault="001C40C4" w:rsidP="00831C9B">
      <w:pPr>
        <w:rPr>
          <w:rFonts w:cstheme="minorHAnsi"/>
          <w:bCs/>
          <w:sz w:val="28"/>
          <w:szCs w:val="28"/>
          <w:lang w:val="en-US"/>
        </w:rPr>
      </w:pPr>
      <w:r w:rsidRPr="007A012F">
        <w:rPr>
          <w:rFonts w:cstheme="minorHAnsi"/>
          <w:bCs/>
          <w:sz w:val="28"/>
          <w:szCs w:val="28"/>
          <w:lang w:val="en-US"/>
        </w:rPr>
        <w:t>A significant</w:t>
      </w:r>
      <w:r w:rsidR="00491A82" w:rsidRPr="007A012F">
        <w:rPr>
          <w:rFonts w:cstheme="minorHAnsi"/>
          <w:bCs/>
          <w:sz w:val="28"/>
          <w:szCs w:val="28"/>
          <w:lang w:val="en-US"/>
        </w:rPr>
        <w:t xml:space="preserve"> reduction in PSH episodes (P&lt;0.05) was seen in </w:t>
      </w:r>
      <w:r w:rsidRPr="007A012F">
        <w:rPr>
          <w:rFonts w:cstheme="minorHAnsi"/>
          <w:bCs/>
          <w:sz w:val="28"/>
          <w:szCs w:val="28"/>
          <w:lang w:val="en-US"/>
        </w:rPr>
        <w:t xml:space="preserve">the </w:t>
      </w:r>
      <w:r w:rsidR="00491A82" w:rsidRPr="007A012F">
        <w:rPr>
          <w:rFonts w:cstheme="minorHAnsi"/>
          <w:bCs/>
          <w:sz w:val="28"/>
          <w:szCs w:val="28"/>
          <w:lang w:val="en-US"/>
        </w:rPr>
        <w:t xml:space="preserve">test group. </w:t>
      </w:r>
      <w:r w:rsidR="00F05E4C" w:rsidRPr="007A012F">
        <w:rPr>
          <w:rFonts w:cstheme="minorHAnsi"/>
          <w:bCs/>
          <w:sz w:val="28"/>
          <w:szCs w:val="28"/>
          <w:lang w:val="en-US"/>
        </w:rPr>
        <w:t>The GCS at admission was similar in both groups but the</w:t>
      </w:r>
      <w:r w:rsidRPr="007A012F">
        <w:rPr>
          <w:rFonts w:cstheme="minorHAnsi"/>
          <w:bCs/>
          <w:sz w:val="28"/>
          <w:szCs w:val="28"/>
          <w:lang w:val="en-US"/>
        </w:rPr>
        <w:t xml:space="preserve"> test group showed an improved </w:t>
      </w:r>
      <w:r w:rsidR="00F05E4C" w:rsidRPr="007A012F">
        <w:rPr>
          <w:rFonts w:cstheme="minorHAnsi"/>
          <w:bCs/>
          <w:sz w:val="28"/>
          <w:szCs w:val="28"/>
          <w:lang w:val="en-US"/>
        </w:rPr>
        <w:t>GCS at discharge (p = 0.028)</w:t>
      </w:r>
      <w:r w:rsidR="0050752D" w:rsidRPr="007A012F">
        <w:rPr>
          <w:rFonts w:cstheme="minorHAnsi"/>
          <w:bCs/>
          <w:sz w:val="28"/>
          <w:szCs w:val="28"/>
          <w:lang w:val="en-US"/>
        </w:rPr>
        <w:t>.</w:t>
      </w:r>
      <w:r w:rsidR="00F05E4C" w:rsidRPr="007A012F">
        <w:rPr>
          <w:rFonts w:cstheme="minorHAnsi"/>
          <w:bCs/>
          <w:sz w:val="28"/>
          <w:szCs w:val="28"/>
          <w:lang w:val="en-US"/>
        </w:rPr>
        <w:t xml:space="preserve"> </w:t>
      </w:r>
      <w:r w:rsidRPr="007A012F">
        <w:rPr>
          <w:rFonts w:cstheme="minorHAnsi"/>
          <w:bCs/>
          <w:sz w:val="28"/>
          <w:szCs w:val="28"/>
          <w:lang w:val="en-US"/>
        </w:rPr>
        <w:t>Glasgow outcome score (GOS)</w:t>
      </w:r>
      <w:r w:rsidR="00F05E4C" w:rsidRPr="007A012F">
        <w:rPr>
          <w:rFonts w:cstheme="minorHAnsi"/>
          <w:bCs/>
          <w:sz w:val="28"/>
          <w:szCs w:val="28"/>
          <w:lang w:val="en-US"/>
        </w:rPr>
        <w:t xml:space="preserve"> at 30 days (p 0.043</w:t>
      </w:r>
      <w:r w:rsidR="0050752D" w:rsidRPr="007A012F">
        <w:rPr>
          <w:rFonts w:cstheme="minorHAnsi"/>
          <w:bCs/>
          <w:sz w:val="28"/>
          <w:szCs w:val="28"/>
          <w:lang w:val="en-US"/>
        </w:rPr>
        <w:t>) at</w:t>
      </w:r>
      <w:r w:rsidRPr="007A012F">
        <w:rPr>
          <w:rFonts w:cstheme="minorHAnsi"/>
          <w:bCs/>
          <w:sz w:val="28"/>
          <w:szCs w:val="28"/>
          <w:lang w:val="en-US"/>
        </w:rPr>
        <w:t xml:space="preserve"> 90 days </w:t>
      </w:r>
      <w:r w:rsidR="00F05E4C" w:rsidRPr="007A012F">
        <w:rPr>
          <w:rFonts w:cstheme="minorHAnsi"/>
          <w:bCs/>
          <w:sz w:val="28"/>
          <w:szCs w:val="28"/>
          <w:lang w:val="en-US"/>
        </w:rPr>
        <w:t xml:space="preserve">(p =0.001) </w:t>
      </w:r>
      <w:r w:rsidRPr="007A012F">
        <w:rPr>
          <w:rFonts w:cstheme="minorHAnsi"/>
          <w:bCs/>
          <w:sz w:val="28"/>
          <w:szCs w:val="28"/>
          <w:lang w:val="en-US"/>
        </w:rPr>
        <w:t xml:space="preserve">in the test group </w:t>
      </w:r>
      <w:r w:rsidR="0050752D" w:rsidRPr="007A012F">
        <w:rPr>
          <w:rFonts w:cstheme="minorHAnsi"/>
          <w:bCs/>
          <w:sz w:val="28"/>
          <w:szCs w:val="28"/>
          <w:lang w:val="en-US"/>
        </w:rPr>
        <w:t>which is significant.</w:t>
      </w:r>
    </w:p>
    <w:p w14:paraId="5341611B" w14:textId="00DBDD2A" w:rsidR="00154598" w:rsidRPr="007A012F" w:rsidRDefault="00831C9B" w:rsidP="00831C9B">
      <w:pPr>
        <w:rPr>
          <w:rFonts w:cstheme="minorHAnsi"/>
          <w:bCs/>
          <w:sz w:val="28"/>
          <w:szCs w:val="28"/>
          <w:lang w:val="en-US"/>
        </w:rPr>
      </w:pPr>
      <w:r w:rsidRPr="007A012F">
        <w:rPr>
          <w:rFonts w:cstheme="minorHAnsi"/>
          <w:b/>
          <w:sz w:val="28"/>
          <w:szCs w:val="28"/>
          <w:lang w:val="en-US"/>
        </w:rPr>
        <w:t>Conclusion</w:t>
      </w:r>
      <w:r w:rsidR="00154598" w:rsidRPr="007A012F">
        <w:rPr>
          <w:rFonts w:cstheme="minorHAnsi"/>
          <w:b/>
          <w:sz w:val="28"/>
          <w:szCs w:val="28"/>
          <w:lang w:val="en-US"/>
        </w:rPr>
        <w:t>:</w:t>
      </w:r>
    </w:p>
    <w:p w14:paraId="124A8DFF" w14:textId="7E86E4D0" w:rsidR="00831C9B" w:rsidRPr="007A012F" w:rsidRDefault="00954F6B" w:rsidP="00831C9B">
      <w:pPr>
        <w:rPr>
          <w:rFonts w:cstheme="minorHAnsi"/>
          <w:bCs/>
          <w:sz w:val="28"/>
          <w:szCs w:val="28"/>
          <w:lang w:val="en-US"/>
        </w:rPr>
      </w:pPr>
      <w:r w:rsidRPr="007A012F">
        <w:rPr>
          <w:rFonts w:cstheme="minorHAnsi"/>
          <w:bCs/>
          <w:sz w:val="28"/>
          <w:szCs w:val="28"/>
          <w:lang w:val="en-US"/>
        </w:rPr>
        <w:t xml:space="preserve">Gabapentin is useful in decreasing PSH episodes in TBI patients. It can be used safely in all TBI patients to decrease </w:t>
      </w:r>
      <w:r w:rsidR="00154598" w:rsidRPr="007A012F">
        <w:rPr>
          <w:rFonts w:cstheme="minorHAnsi"/>
          <w:bCs/>
          <w:sz w:val="28"/>
          <w:szCs w:val="28"/>
          <w:lang w:val="en-US"/>
        </w:rPr>
        <w:t xml:space="preserve">the </w:t>
      </w:r>
      <w:r w:rsidRPr="007A012F">
        <w:rPr>
          <w:rFonts w:cstheme="minorHAnsi"/>
          <w:bCs/>
          <w:sz w:val="28"/>
          <w:szCs w:val="28"/>
          <w:lang w:val="en-US"/>
        </w:rPr>
        <w:t xml:space="preserve">need </w:t>
      </w:r>
      <w:r w:rsidR="00E56FCA" w:rsidRPr="007A012F">
        <w:rPr>
          <w:rFonts w:cstheme="minorHAnsi"/>
          <w:bCs/>
          <w:sz w:val="28"/>
          <w:szCs w:val="28"/>
          <w:lang w:val="en-US"/>
        </w:rPr>
        <w:t>for</w:t>
      </w:r>
      <w:r w:rsidRPr="007A012F">
        <w:rPr>
          <w:rFonts w:cstheme="minorHAnsi"/>
          <w:bCs/>
          <w:sz w:val="28"/>
          <w:szCs w:val="28"/>
          <w:lang w:val="en-US"/>
        </w:rPr>
        <w:t xml:space="preserve"> prolonged sedation and prevent PSH episodes in these patients</w:t>
      </w:r>
    </w:p>
    <w:p w14:paraId="1804F92D" w14:textId="11D7DF55" w:rsidR="00E52570" w:rsidRPr="007A012F" w:rsidRDefault="00E52570" w:rsidP="00831C9B">
      <w:pPr>
        <w:rPr>
          <w:rFonts w:cstheme="minorHAnsi"/>
          <w:bCs/>
          <w:sz w:val="28"/>
          <w:szCs w:val="28"/>
          <w:lang w:val="en-US"/>
        </w:rPr>
      </w:pPr>
    </w:p>
    <w:p w14:paraId="219F8B42" w14:textId="54EF6827" w:rsidR="00E52570" w:rsidRPr="007A012F" w:rsidRDefault="00E52570" w:rsidP="00831C9B">
      <w:pPr>
        <w:rPr>
          <w:rFonts w:cstheme="minorHAnsi"/>
          <w:b/>
          <w:sz w:val="28"/>
          <w:szCs w:val="28"/>
          <w:lang w:val="en-US"/>
        </w:rPr>
      </w:pPr>
      <w:r w:rsidRPr="007A012F">
        <w:rPr>
          <w:rFonts w:cstheme="minorHAnsi"/>
          <w:b/>
          <w:sz w:val="28"/>
          <w:szCs w:val="28"/>
          <w:lang w:val="en-US"/>
        </w:rPr>
        <w:t>Recent publications</w:t>
      </w:r>
    </w:p>
    <w:p w14:paraId="0853A3CE" w14:textId="77777777" w:rsidR="00E52570" w:rsidRPr="007A012F" w:rsidRDefault="00E52570" w:rsidP="00E52570">
      <w:pPr>
        <w:rPr>
          <w:rFonts w:cstheme="minorHAnsi"/>
          <w:bCs/>
          <w:sz w:val="28"/>
          <w:szCs w:val="28"/>
          <w:lang w:val="en-US"/>
        </w:rPr>
      </w:pPr>
      <w:r w:rsidRPr="007A012F">
        <w:rPr>
          <w:rFonts w:cstheme="minorHAnsi"/>
          <w:bCs/>
          <w:sz w:val="28"/>
          <w:szCs w:val="28"/>
          <w:lang w:val="en-US"/>
        </w:rPr>
        <w:t xml:space="preserve">1.  </w:t>
      </w:r>
      <w:proofErr w:type="spellStart"/>
      <w:r w:rsidRPr="007A012F">
        <w:rPr>
          <w:rFonts w:cstheme="minorHAnsi"/>
          <w:bCs/>
          <w:sz w:val="28"/>
          <w:szCs w:val="28"/>
          <w:lang w:val="en-US"/>
        </w:rPr>
        <w:t>Kulhari</w:t>
      </w:r>
      <w:proofErr w:type="spellEnd"/>
      <w:r w:rsidRPr="007A012F">
        <w:rPr>
          <w:rFonts w:cstheme="minorHAnsi"/>
          <w:bCs/>
          <w:sz w:val="28"/>
          <w:szCs w:val="28"/>
          <w:lang w:val="en-US"/>
        </w:rPr>
        <w:t xml:space="preserve"> S, </w:t>
      </w:r>
      <w:proofErr w:type="spellStart"/>
      <w:r w:rsidRPr="007A012F">
        <w:rPr>
          <w:rFonts w:cstheme="minorHAnsi"/>
          <w:bCs/>
          <w:sz w:val="28"/>
          <w:szCs w:val="28"/>
          <w:lang w:val="en-US"/>
        </w:rPr>
        <w:t>Shamshery</w:t>
      </w:r>
      <w:proofErr w:type="spellEnd"/>
      <w:r w:rsidRPr="007A012F">
        <w:rPr>
          <w:rFonts w:cstheme="minorHAnsi"/>
          <w:bCs/>
          <w:sz w:val="28"/>
          <w:szCs w:val="28"/>
          <w:lang w:val="en-US"/>
        </w:rPr>
        <w:t xml:space="preserve"> C, </w:t>
      </w:r>
      <w:r w:rsidRPr="007A012F">
        <w:rPr>
          <w:rFonts w:cstheme="minorHAnsi"/>
          <w:b/>
          <w:sz w:val="28"/>
          <w:szCs w:val="28"/>
          <w:lang w:val="en-US"/>
        </w:rPr>
        <w:t>Ambasta S,</w:t>
      </w:r>
      <w:r w:rsidRPr="007A012F">
        <w:rPr>
          <w:rFonts w:cstheme="minorHAnsi"/>
          <w:bCs/>
          <w:sz w:val="28"/>
          <w:szCs w:val="28"/>
          <w:lang w:val="en-US"/>
        </w:rPr>
        <w:t xml:space="preserve"> Agarwal </w:t>
      </w:r>
      <w:proofErr w:type="spellStart"/>
      <w:proofErr w:type="gramStart"/>
      <w:r w:rsidRPr="007A012F">
        <w:rPr>
          <w:rFonts w:cstheme="minorHAnsi"/>
          <w:bCs/>
          <w:sz w:val="28"/>
          <w:szCs w:val="28"/>
          <w:lang w:val="en-US"/>
        </w:rPr>
        <w:t>A,Singh</w:t>
      </w:r>
      <w:proofErr w:type="spellEnd"/>
      <w:proofErr w:type="gramEnd"/>
      <w:r w:rsidRPr="007A012F">
        <w:rPr>
          <w:rFonts w:cstheme="minorHAnsi"/>
          <w:bCs/>
          <w:sz w:val="28"/>
          <w:szCs w:val="28"/>
          <w:lang w:val="en-US"/>
        </w:rPr>
        <w:t xml:space="preserve"> RK, Srivastava M. Postoperative analgesic efficacy of quadratus lumborum block in patients undergoing laparoscopic cholecystectomy:    A retrospective study. Indian J Pain 2022; 36:33-6.</w:t>
      </w:r>
    </w:p>
    <w:p w14:paraId="0BBFD408" w14:textId="77777777" w:rsidR="00E52570" w:rsidRPr="007A012F" w:rsidRDefault="00E52570" w:rsidP="00E52570">
      <w:pPr>
        <w:rPr>
          <w:rFonts w:cstheme="minorHAnsi"/>
          <w:bCs/>
          <w:sz w:val="28"/>
          <w:szCs w:val="28"/>
          <w:lang w:val="en-US"/>
        </w:rPr>
      </w:pPr>
      <w:r w:rsidRPr="007A012F">
        <w:rPr>
          <w:rFonts w:cstheme="minorHAnsi"/>
          <w:bCs/>
          <w:sz w:val="28"/>
          <w:szCs w:val="28"/>
          <w:lang w:val="en-US"/>
        </w:rPr>
        <w:t xml:space="preserve">2. </w:t>
      </w:r>
      <w:r w:rsidRPr="007A012F">
        <w:rPr>
          <w:rFonts w:cstheme="minorHAnsi"/>
          <w:b/>
          <w:sz w:val="28"/>
          <w:szCs w:val="28"/>
          <w:lang w:val="en-US"/>
        </w:rPr>
        <w:t>Ambasta S</w:t>
      </w:r>
      <w:r w:rsidRPr="007A012F">
        <w:rPr>
          <w:rFonts w:cstheme="minorHAnsi"/>
          <w:bCs/>
          <w:sz w:val="28"/>
          <w:szCs w:val="28"/>
          <w:lang w:val="en-US"/>
        </w:rPr>
        <w:t xml:space="preserve">, </w:t>
      </w:r>
      <w:proofErr w:type="spellStart"/>
      <w:r w:rsidRPr="007A012F">
        <w:rPr>
          <w:rFonts w:cstheme="minorHAnsi"/>
          <w:bCs/>
          <w:sz w:val="28"/>
          <w:szCs w:val="28"/>
          <w:lang w:val="en-US"/>
        </w:rPr>
        <w:t>Kannaujia</w:t>
      </w:r>
      <w:proofErr w:type="spellEnd"/>
      <w:r w:rsidRPr="007A012F">
        <w:rPr>
          <w:rFonts w:cstheme="minorHAnsi"/>
          <w:bCs/>
          <w:sz w:val="28"/>
          <w:szCs w:val="28"/>
          <w:lang w:val="en-US"/>
        </w:rPr>
        <w:t xml:space="preserve"> AK, </w:t>
      </w:r>
      <w:proofErr w:type="spellStart"/>
      <w:r w:rsidRPr="007A012F">
        <w:rPr>
          <w:rFonts w:cstheme="minorHAnsi"/>
          <w:bCs/>
          <w:sz w:val="28"/>
          <w:szCs w:val="28"/>
          <w:lang w:val="en-US"/>
        </w:rPr>
        <w:t>Shamshery</w:t>
      </w:r>
      <w:proofErr w:type="spellEnd"/>
      <w:r w:rsidRPr="007A012F">
        <w:rPr>
          <w:rFonts w:cstheme="minorHAnsi"/>
          <w:bCs/>
          <w:sz w:val="28"/>
          <w:szCs w:val="28"/>
          <w:lang w:val="en-US"/>
        </w:rPr>
        <w:t xml:space="preserve"> C, Shrivastava D, Mishra P, Mahapatra S. Smartphone use among anesthesiologists during work hours: </w:t>
      </w:r>
      <w:proofErr w:type="spellStart"/>
      <w:r w:rsidRPr="007A012F">
        <w:rPr>
          <w:rFonts w:cstheme="minorHAnsi"/>
          <w:bCs/>
          <w:sz w:val="28"/>
          <w:szCs w:val="28"/>
          <w:lang w:val="en-US"/>
        </w:rPr>
        <w:t>Asurvey</w:t>
      </w:r>
      <w:proofErr w:type="spellEnd"/>
      <w:r w:rsidRPr="007A012F">
        <w:rPr>
          <w:rFonts w:ascii="Cambria Math" w:hAnsi="Cambria Math" w:cs="Cambria Math"/>
          <w:bCs/>
          <w:sz w:val="28"/>
          <w:szCs w:val="28"/>
          <w:lang w:val="en-US"/>
        </w:rPr>
        <w:t>‑</w:t>
      </w:r>
      <w:r w:rsidRPr="007A012F">
        <w:rPr>
          <w:rFonts w:cstheme="minorHAnsi"/>
          <w:bCs/>
          <w:sz w:val="28"/>
          <w:szCs w:val="28"/>
          <w:lang w:val="en-US"/>
        </w:rPr>
        <w:t xml:space="preserve">based study. </w:t>
      </w:r>
      <w:proofErr w:type="spellStart"/>
      <w:r w:rsidRPr="007A012F">
        <w:rPr>
          <w:rFonts w:cstheme="minorHAnsi"/>
          <w:bCs/>
          <w:sz w:val="28"/>
          <w:szCs w:val="28"/>
          <w:lang w:val="en-US"/>
        </w:rPr>
        <w:t>Anesth</w:t>
      </w:r>
      <w:proofErr w:type="spellEnd"/>
      <w:r w:rsidRPr="007A012F">
        <w:rPr>
          <w:rFonts w:cstheme="minorHAnsi"/>
          <w:bCs/>
          <w:sz w:val="28"/>
          <w:szCs w:val="28"/>
          <w:lang w:val="en-US"/>
        </w:rPr>
        <w:t xml:space="preserve"> Essays Res 2022; 16:22-30</w:t>
      </w:r>
    </w:p>
    <w:p w14:paraId="5935E13D" w14:textId="77777777" w:rsidR="00E52570" w:rsidRPr="007A012F" w:rsidRDefault="00E52570" w:rsidP="00E52570">
      <w:pPr>
        <w:rPr>
          <w:rFonts w:cstheme="minorHAnsi"/>
          <w:bCs/>
          <w:sz w:val="28"/>
          <w:szCs w:val="28"/>
          <w:lang w:val="en-US"/>
        </w:rPr>
      </w:pPr>
      <w:r w:rsidRPr="007A012F">
        <w:rPr>
          <w:rFonts w:cstheme="minorHAnsi"/>
          <w:bCs/>
          <w:sz w:val="28"/>
          <w:szCs w:val="28"/>
          <w:lang w:val="en-US"/>
        </w:rPr>
        <w:t xml:space="preserve">3.Mahapatra S, Tripathi S, Kumar V, </w:t>
      </w:r>
      <w:r w:rsidRPr="007A012F">
        <w:rPr>
          <w:rFonts w:cstheme="minorHAnsi"/>
          <w:b/>
          <w:sz w:val="28"/>
          <w:szCs w:val="28"/>
          <w:lang w:val="en-US"/>
        </w:rPr>
        <w:t>Ambasta S</w:t>
      </w:r>
      <w:r w:rsidRPr="007A012F">
        <w:rPr>
          <w:rFonts w:cstheme="minorHAnsi"/>
          <w:bCs/>
          <w:sz w:val="28"/>
          <w:szCs w:val="28"/>
          <w:lang w:val="en-US"/>
        </w:rPr>
        <w:t xml:space="preserve"> et al. (April 21, 2021) Evaluation of Patterns of Trauma Reporting to the Emergency Department During the First COVID-19 Lockdown in India. </w:t>
      </w:r>
      <w:proofErr w:type="spellStart"/>
      <w:r w:rsidRPr="007A012F">
        <w:rPr>
          <w:rFonts w:cstheme="minorHAnsi"/>
          <w:bCs/>
          <w:sz w:val="28"/>
          <w:szCs w:val="28"/>
          <w:lang w:val="en-US"/>
        </w:rPr>
        <w:t>Cureus</w:t>
      </w:r>
      <w:proofErr w:type="spellEnd"/>
      <w:r w:rsidRPr="007A012F">
        <w:rPr>
          <w:rFonts w:cstheme="minorHAnsi"/>
          <w:bCs/>
          <w:sz w:val="28"/>
          <w:szCs w:val="28"/>
          <w:lang w:val="en-US"/>
        </w:rPr>
        <w:t xml:space="preserve"> 13(4): e14609. DOI 10.7759/cureus.14609</w:t>
      </w:r>
    </w:p>
    <w:p w14:paraId="7F7B94C1" w14:textId="23FDF568" w:rsidR="00E52570" w:rsidRPr="007A012F" w:rsidRDefault="00E52570" w:rsidP="00E52570">
      <w:pPr>
        <w:rPr>
          <w:rFonts w:cstheme="minorHAnsi"/>
          <w:bCs/>
          <w:sz w:val="28"/>
          <w:szCs w:val="28"/>
          <w:lang w:val="en-US"/>
        </w:rPr>
      </w:pPr>
      <w:r w:rsidRPr="007A012F">
        <w:rPr>
          <w:rFonts w:cstheme="minorHAnsi"/>
          <w:bCs/>
          <w:sz w:val="28"/>
          <w:szCs w:val="28"/>
          <w:lang w:val="en-US"/>
        </w:rPr>
        <w:t xml:space="preserve">4. Srivastava U, Dwivedi Y, Verma S, </w:t>
      </w:r>
      <w:proofErr w:type="spellStart"/>
      <w:r w:rsidRPr="007A012F">
        <w:rPr>
          <w:rFonts w:cstheme="minorHAnsi"/>
          <w:bCs/>
          <w:sz w:val="28"/>
          <w:szCs w:val="28"/>
          <w:lang w:val="en-US"/>
        </w:rPr>
        <w:t>Kannaujia</w:t>
      </w:r>
      <w:proofErr w:type="spellEnd"/>
      <w:r w:rsidRPr="007A012F">
        <w:rPr>
          <w:rFonts w:cstheme="minorHAnsi"/>
          <w:bCs/>
          <w:sz w:val="28"/>
          <w:szCs w:val="28"/>
          <w:lang w:val="en-US"/>
        </w:rPr>
        <w:t xml:space="preserve"> AK, </w:t>
      </w:r>
      <w:r w:rsidRPr="007A012F">
        <w:rPr>
          <w:rFonts w:cstheme="minorHAnsi"/>
          <w:b/>
          <w:sz w:val="28"/>
          <w:szCs w:val="28"/>
          <w:lang w:val="en-US"/>
        </w:rPr>
        <w:t>Ambasta S</w:t>
      </w:r>
      <w:r w:rsidRPr="007A012F">
        <w:rPr>
          <w:rFonts w:cstheme="minorHAnsi"/>
          <w:bCs/>
          <w:sz w:val="28"/>
          <w:szCs w:val="28"/>
          <w:lang w:val="en-US"/>
        </w:rPr>
        <w:t xml:space="preserve">, </w:t>
      </w:r>
      <w:proofErr w:type="spellStart"/>
      <w:r w:rsidRPr="007A012F">
        <w:rPr>
          <w:rFonts w:cstheme="minorHAnsi"/>
          <w:bCs/>
          <w:sz w:val="28"/>
          <w:szCs w:val="28"/>
          <w:lang w:val="en-US"/>
        </w:rPr>
        <w:t>Lalramthara</w:t>
      </w:r>
      <w:proofErr w:type="spellEnd"/>
      <w:r w:rsidRPr="007A012F">
        <w:rPr>
          <w:rFonts w:cstheme="minorHAnsi"/>
          <w:bCs/>
          <w:sz w:val="28"/>
          <w:szCs w:val="28"/>
          <w:lang w:val="en-US"/>
        </w:rPr>
        <w:t xml:space="preserve"> I. Sequential organ failure assessment score for predicting outcome of severely ill obstetric patients admitted to intensive care unit. J </w:t>
      </w:r>
      <w:proofErr w:type="spellStart"/>
      <w:r w:rsidRPr="007A012F">
        <w:rPr>
          <w:rFonts w:cstheme="minorHAnsi"/>
          <w:bCs/>
          <w:sz w:val="28"/>
          <w:szCs w:val="28"/>
          <w:lang w:val="en-US"/>
        </w:rPr>
        <w:t>Obstet</w:t>
      </w:r>
      <w:proofErr w:type="spellEnd"/>
      <w:r w:rsidRPr="007A012F">
        <w:rPr>
          <w:rFonts w:cstheme="minorHAnsi"/>
          <w:bCs/>
          <w:sz w:val="28"/>
          <w:szCs w:val="28"/>
          <w:lang w:val="en-US"/>
        </w:rPr>
        <w:t xml:space="preserve"> </w:t>
      </w:r>
      <w:proofErr w:type="spellStart"/>
      <w:r w:rsidRPr="007A012F">
        <w:rPr>
          <w:rFonts w:cstheme="minorHAnsi"/>
          <w:bCs/>
          <w:sz w:val="28"/>
          <w:szCs w:val="28"/>
          <w:lang w:val="en-US"/>
        </w:rPr>
        <w:t>Anaesth</w:t>
      </w:r>
      <w:proofErr w:type="spellEnd"/>
      <w:r w:rsidRPr="007A012F">
        <w:rPr>
          <w:rFonts w:cstheme="minorHAnsi"/>
          <w:bCs/>
          <w:sz w:val="28"/>
          <w:szCs w:val="28"/>
          <w:lang w:val="en-US"/>
        </w:rPr>
        <w:t xml:space="preserve"> Crit Care 2021; 11:96-100</w:t>
      </w:r>
    </w:p>
    <w:p w14:paraId="7C8197FA" w14:textId="77777777" w:rsidR="00E52570" w:rsidRPr="007A012F" w:rsidRDefault="00E52570" w:rsidP="00E52570">
      <w:pPr>
        <w:rPr>
          <w:rFonts w:cstheme="minorHAnsi"/>
          <w:bCs/>
          <w:sz w:val="28"/>
          <w:szCs w:val="28"/>
          <w:lang w:val="en-US"/>
        </w:rPr>
      </w:pPr>
      <w:r w:rsidRPr="007A012F">
        <w:rPr>
          <w:rFonts w:cstheme="minorHAnsi"/>
          <w:bCs/>
          <w:sz w:val="28"/>
          <w:szCs w:val="28"/>
          <w:lang w:val="en-US"/>
        </w:rPr>
        <w:t xml:space="preserve">5.Tripathi SS, </w:t>
      </w:r>
      <w:r w:rsidRPr="007A012F">
        <w:rPr>
          <w:rFonts w:cstheme="minorHAnsi"/>
          <w:b/>
          <w:sz w:val="28"/>
          <w:szCs w:val="28"/>
          <w:lang w:val="en-US"/>
        </w:rPr>
        <w:t>Ambasta S</w:t>
      </w:r>
      <w:r w:rsidRPr="007A012F">
        <w:rPr>
          <w:rFonts w:cstheme="minorHAnsi"/>
          <w:bCs/>
          <w:sz w:val="28"/>
          <w:szCs w:val="28"/>
          <w:lang w:val="en-US"/>
        </w:rPr>
        <w:t xml:space="preserve">, Mahapatra S, Agarwal A, Rastogi S. (2021). Evaluation of Efficacy of Femoral Nerve Block on Pain and Anxiety in Acute Fractures of the Femur in the Emergency Department, JCDR 15(3), RC06-RC10.  </w:t>
      </w:r>
    </w:p>
    <w:p w14:paraId="1186BF16" w14:textId="433BDBEC" w:rsidR="00E52570" w:rsidRPr="007A012F" w:rsidRDefault="00E52570" w:rsidP="00E52570">
      <w:pPr>
        <w:rPr>
          <w:rFonts w:cstheme="minorHAnsi"/>
          <w:bCs/>
          <w:sz w:val="28"/>
          <w:szCs w:val="28"/>
          <w:lang w:val="en-US"/>
        </w:rPr>
      </w:pPr>
      <w:r w:rsidRPr="007A012F">
        <w:rPr>
          <w:rFonts w:cstheme="minorHAnsi"/>
          <w:bCs/>
          <w:sz w:val="28"/>
          <w:szCs w:val="28"/>
          <w:lang w:val="en-US"/>
        </w:rPr>
        <w:t xml:space="preserve">6.Tripathi SS, Mahapatra S, </w:t>
      </w:r>
      <w:r w:rsidRPr="007A012F">
        <w:rPr>
          <w:rFonts w:cstheme="minorHAnsi"/>
          <w:b/>
          <w:sz w:val="28"/>
          <w:szCs w:val="28"/>
          <w:lang w:val="en-US"/>
        </w:rPr>
        <w:t>Ambasta S</w:t>
      </w:r>
      <w:r w:rsidRPr="007A012F">
        <w:rPr>
          <w:rFonts w:cstheme="minorHAnsi"/>
          <w:bCs/>
          <w:sz w:val="28"/>
          <w:szCs w:val="28"/>
          <w:lang w:val="en-US"/>
        </w:rPr>
        <w:t xml:space="preserve">, et al. Evaluation of approach of fluid resuscitation protocols in primary trauma care - a survey-based experience. J Evid Based Med </w:t>
      </w:r>
      <w:proofErr w:type="spellStart"/>
      <w:r w:rsidRPr="007A012F">
        <w:rPr>
          <w:rFonts w:cstheme="minorHAnsi"/>
          <w:bCs/>
          <w:sz w:val="28"/>
          <w:szCs w:val="28"/>
          <w:lang w:val="en-US"/>
        </w:rPr>
        <w:t>Healthc</w:t>
      </w:r>
      <w:proofErr w:type="spellEnd"/>
      <w:r w:rsidRPr="007A012F">
        <w:rPr>
          <w:rFonts w:cstheme="minorHAnsi"/>
          <w:bCs/>
          <w:sz w:val="28"/>
          <w:szCs w:val="28"/>
          <w:lang w:val="en-US"/>
        </w:rPr>
        <w:t xml:space="preserve"> 2021; 8(13):816-822. DOI: 10.18410/</w:t>
      </w:r>
      <w:proofErr w:type="spellStart"/>
      <w:r w:rsidRPr="007A012F">
        <w:rPr>
          <w:rFonts w:cstheme="minorHAnsi"/>
          <w:bCs/>
          <w:sz w:val="28"/>
          <w:szCs w:val="28"/>
          <w:lang w:val="en-US"/>
        </w:rPr>
        <w:t>jebmh</w:t>
      </w:r>
      <w:proofErr w:type="spellEnd"/>
      <w:r w:rsidRPr="007A012F">
        <w:rPr>
          <w:rFonts w:cstheme="minorHAnsi"/>
          <w:bCs/>
          <w:sz w:val="28"/>
          <w:szCs w:val="28"/>
          <w:lang w:val="en-US"/>
        </w:rPr>
        <w:t>/2021/160</w:t>
      </w:r>
    </w:p>
    <w:p w14:paraId="60BC6B13" w14:textId="3B2945BF" w:rsidR="00E52570" w:rsidRPr="007A012F" w:rsidRDefault="00E52570" w:rsidP="00E52570">
      <w:pPr>
        <w:rPr>
          <w:rFonts w:cstheme="minorHAnsi"/>
          <w:bCs/>
          <w:sz w:val="28"/>
          <w:szCs w:val="28"/>
          <w:lang w:val="en-US"/>
        </w:rPr>
      </w:pPr>
      <w:r w:rsidRPr="007A012F">
        <w:rPr>
          <w:rFonts w:cstheme="minorHAnsi"/>
          <w:bCs/>
          <w:sz w:val="28"/>
          <w:szCs w:val="28"/>
          <w:lang w:val="en-US"/>
        </w:rPr>
        <w:lastRenderedPageBreak/>
        <w:t>7</w:t>
      </w:r>
      <w:r w:rsidRPr="007A012F">
        <w:rPr>
          <w:rFonts w:cstheme="minorHAnsi"/>
          <w:bCs/>
          <w:sz w:val="28"/>
          <w:szCs w:val="28"/>
          <w:lang w:val="en-US"/>
        </w:rPr>
        <w:t xml:space="preserve">.Tripathi, S, Mahapatra, S., </w:t>
      </w:r>
      <w:r w:rsidRPr="007A012F">
        <w:rPr>
          <w:rFonts w:cstheme="minorHAnsi"/>
          <w:b/>
          <w:sz w:val="28"/>
          <w:szCs w:val="28"/>
          <w:lang w:val="en-US"/>
        </w:rPr>
        <w:t>Ambasta S</w:t>
      </w:r>
      <w:r w:rsidRPr="007A012F">
        <w:rPr>
          <w:rFonts w:cstheme="minorHAnsi"/>
          <w:bCs/>
          <w:sz w:val="28"/>
          <w:szCs w:val="28"/>
          <w:lang w:val="en-US"/>
        </w:rPr>
        <w:t xml:space="preserve">, et al. (2021). Epidemiological Evaluation and Causes of delayed presentation of </w:t>
      </w:r>
      <w:proofErr w:type="spellStart"/>
      <w:r w:rsidRPr="007A012F">
        <w:rPr>
          <w:rFonts w:cstheme="minorHAnsi"/>
          <w:bCs/>
          <w:sz w:val="28"/>
          <w:szCs w:val="28"/>
          <w:lang w:val="en-US"/>
        </w:rPr>
        <w:t>Orthopaedic</w:t>
      </w:r>
      <w:proofErr w:type="spellEnd"/>
      <w:r w:rsidRPr="007A012F">
        <w:rPr>
          <w:rFonts w:cstheme="minorHAnsi"/>
          <w:bCs/>
          <w:sz w:val="28"/>
          <w:szCs w:val="28"/>
          <w:lang w:val="en-US"/>
        </w:rPr>
        <w:t xml:space="preserve"> polytrauma patients to Emergency Department - A Tertiary Care Centre Experience. International Journal of Health and Clinical Research, 4(6), 309–312</w:t>
      </w:r>
    </w:p>
    <w:p w14:paraId="39658163" w14:textId="77777777" w:rsidR="007A012F" w:rsidRPr="007A012F" w:rsidRDefault="007A012F" w:rsidP="00E52570">
      <w:pPr>
        <w:rPr>
          <w:rFonts w:cstheme="minorHAnsi"/>
          <w:bCs/>
          <w:sz w:val="28"/>
          <w:szCs w:val="28"/>
          <w:lang w:val="en-US"/>
        </w:rPr>
      </w:pPr>
    </w:p>
    <w:p w14:paraId="5BD03074" w14:textId="5CDFAAA1" w:rsidR="00E52570" w:rsidRPr="007A012F" w:rsidRDefault="00E52570" w:rsidP="00E52570">
      <w:pPr>
        <w:rPr>
          <w:rFonts w:cstheme="minorHAnsi"/>
          <w:bCs/>
          <w:sz w:val="28"/>
          <w:szCs w:val="28"/>
          <w:lang w:val="en-US"/>
        </w:rPr>
      </w:pPr>
    </w:p>
    <w:p w14:paraId="10665E25" w14:textId="77777777" w:rsidR="00E52570" w:rsidRPr="007A012F" w:rsidRDefault="00E52570" w:rsidP="00E52570">
      <w:pPr>
        <w:rPr>
          <w:rFonts w:cstheme="minorHAnsi"/>
          <w:bCs/>
          <w:sz w:val="28"/>
          <w:szCs w:val="28"/>
          <w:lang w:val="en-US"/>
        </w:rPr>
      </w:pPr>
    </w:p>
    <w:p w14:paraId="0BA1D030" w14:textId="3C6BD8BB" w:rsidR="00E52570" w:rsidRPr="007A012F" w:rsidRDefault="00E52570" w:rsidP="00E52570">
      <w:pPr>
        <w:rPr>
          <w:rFonts w:cstheme="minorHAnsi"/>
          <w:b/>
          <w:sz w:val="28"/>
          <w:szCs w:val="28"/>
          <w:lang w:val="en-US"/>
        </w:rPr>
      </w:pPr>
      <w:r w:rsidRPr="007A012F">
        <w:rPr>
          <w:rFonts w:cstheme="minorHAnsi"/>
          <w:b/>
          <w:sz w:val="28"/>
          <w:szCs w:val="28"/>
          <w:lang w:val="en-US"/>
        </w:rPr>
        <w:t>BIOGRAPHY</w:t>
      </w:r>
    </w:p>
    <w:p w14:paraId="2D6B0BDB" w14:textId="5B6C3996" w:rsidR="00E52570" w:rsidRPr="007A012F" w:rsidRDefault="00E52570" w:rsidP="00E52570">
      <w:pPr>
        <w:rPr>
          <w:rFonts w:cstheme="minorHAnsi"/>
          <w:bCs/>
          <w:sz w:val="28"/>
          <w:szCs w:val="28"/>
          <w:lang w:val="en-US"/>
        </w:rPr>
      </w:pPr>
      <w:r w:rsidRPr="007A012F">
        <w:rPr>
          <w:rFonts w:cstheme="minorHAnsi"/>
          <w:bCs/>
          <w:noProof/>
          <w:sz w:val="28"/>
          <w:szCs w:val="28"/>
          <w:lang w:val="en-US"/>
        </w:rPr>
        <w:drawing>
          <wp:inline distT="0" distB="0" distL="0" distR="0" wp14:anchorId="33EC8377" wp14:editId="739F23B1">
            <wp:extent cx="1612900" cy="1329055"/>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2900" cy="1329055"/>
                    </a:xfrm>
                    <a:prstGeom prst="rect">
                      <a:avLst/>
                    </a:prstGeom>
                    <a:noFill/>
                  </pic:spPr>
                </pic:pic>
              </a:graphicData>
            </a:graphic>
          </wp:inline>
        </w:drawing>
      </w:r>
    </w:p>
    <w:p w14:paraId="61EA05BC" w14:textId="69EAD9C2" w:rsidR="00182CE3" w:rsidRPr="007A012F" w:rsidRDefault="00182CE3" w:rsidP="00E52570">
      <w:pPr>
        <w:rPr>
          <w:rFonts w:cstheme="minorHAnsi"/>
          <w:bCs/>
          <w:sz w:val="28"/>
          <w:szCs w:val="28"/>
          <w:lang w:val="en-US"/>
        </w:rPr>
      </w:pPr>
    </w:p>
    <w:p w14:paraId="03B6BD67" w14:textId="30D8E66E" w:rsidR="00182CE3" w:rsidRPr="007A012F" w:rsidRDefault="00182CE3" w:rsidP="00182CE3">
      <w:pPr>
        <w:rPr>
          <w:rFonts w:cstheme="minorHAnsi"/>
          <w:bCs/>
          <w:sz w:val="28"/>
          <w:szCs w:val="28"/>
          <w:lang w:val="en-US"/>
        </w:rPr>
      </w:pPr>
      <w:r w:rsidRPr="007A012F">
        <w:rPr>
          <w:rFonts w:cstheme="minorHAnsi"/>
          <w:bCs/>
          <w:sz w:val="28"/>
          <w:szCs w:val="28"/>
          <w:lang w:val="en-US"/>
        </w:rPr>
        <w:t xml:space="preserve">Suruchi Ambasta is </w:t>
      </w:r>
      <w:r w:rsidRPr="007A012F">
        <w:rPr>
          <w:rFonts w:cstheme="minorHAnsi"/>
          <w:bCs/>
          <w:sz w:val="28"/>
          <w:szCs w:val="28"/>
          <w:lang w:val="en-US"/>
        </w:rPr>
        <w:t>Consultant in</w:t>
      </w:r>
      <w:r w:rsidRPr="007A012F">
        <w:rPr>
          <w:rFonts w:cstheme="minorHAnsi"/>
          <w:bCs/>
          <w:sz w:val="28"/>
          <w:szCs w:val="28"/>
          <w:lang w:val="en-US"/>
        </w:rPr>
        <w:t xml:space="preserve"> </w:t>
      </w:r>
      <w:proofErr w:type="spellStart"/>
      <w:r w:rsidRPr="007A012F">
        <w:rPr>
          <w:rFonts w:cstheme="minorHAnsi"/>
          <w:bCs/>
          <w:sz w:val="28"/>
          <w:szCs w:val="28"/>
          <w:lang w:val="en-US"/>
        </w:rPr>
        <w:t>Anaesthesia</w:t>
      </w:r>
      <w:proofErr w:type="spellEnd"/>
      <w:r w:rsidRPr="007A012F">
        <w:rPr>
          <w:rFonts w:cstheme="minorHAnsi"/>
          <w:bCs/>
          <w:sz w:val="28"/>
          <w:szCs w:val="28"/>
          <w:lang w:val="en-US"/>
        </w:rPr>
        <w:t xml:space="preserve"> at </w:t>
      </w:r>
      <w:r w:rsidRPr="007A012F">
        <w:rPr>
          <w:rFonts w:cstheme="minorHAnsi"/>
          <w:bCs/>
          <w:sz w:val="28"/>
          <w:szCs w:val="28"/>
          <w:lang w:val="en-US"/>
        </w:rPr>
        <w:t>Sanjay Gandhi Post Graduate Institute of Medical Sciences, SGPGIMS, Lucknow, India</w:t>
      </w:r>
      <w:r w:rsidRPr="007A012F">
        <w:rPr>
          <w:rFonts w:cstheme="minorHAnsi"/>
          <w:bCs/>
          <w:sz w:val="28"/>
          <w:szCs w:val="28"/>
          <w:lang w:val="en-US"/>
        </w:rPr>
        <w:t xml:space="preserve">. </w:t>
      </w:r>
      <w:r w:rsidRPr="007A012F">
        <w:rPr>
          <w:rFonts w:cstheme="minorHAnsi"/>
          <w:bCs/>
          <w:sz w:val="28"/>
          <w:szCs w:val="28"/>
          <w:lang w:val="en-US"/>
        </w:rPr>
        <w:t xml:space="preserve">She is lifetime member of various bodies like Indian Society of </w:t>
      </w:r>
      <w:proofErr w:type="spellStart"/>
      <w:r w:rsidRPr="007A012F">
        <w:rPr>
          <w:rFonts w:cstheme="minorHAnsi"/>
          <w:bCs/>
          <w:sz w:val="28"/>
          <w:szCs w:val="28"/>
          <w:lang w:val="en-US"/>
        </w:rPr>
        <w:t>Anaesthesiology</w:t>
      </w:r>
      <w:proofErr w:type="spellEnd"/>
      <w:r w:rsidRPr="007A012F">
        <w:rPr>
          <w:rFonts w:cstheme="minorHAnsi"/>
          <w:bCs/>
          <w:sz w:val="28"/>
          <w:szCs w:val="28"/>
          <w:lang w:val="en-US"/>
        </w:rPr>
        <w:t xml:space="preserve"> (ISA), Indian society of critical care medicine (ISCCM)</w:t>
      </w:r>
      <w:r w:rsidRPr="007A012F">
        <w:rPr>
          <w:rFonts w:cstheme="minorHAnsi"/>
          <w:bCs/>
          <w:sz w:val="28"/>
          <w:szCs w:val="28"/>
          <w:lang w:val="en-US"/>
        </w:rPr>
        <w:t xml:space="preserve">. </w:t>
      </w:r>
      <w:r w:rsidRPr="007A012F">
        <w:rPr>
          <w:rFonts w:cstheme="minorHAnsi"/>
          <w:bCs/>
          <w:sz w:val="28"/>
          <w:szCs w:val="28"/>
          <w:lang w:val="en-US"/>
        </w:rPr>
        <w:t xml:space="preserve">She is a member of National Academy of Medical Sciences (NAMS). She has done MD </w:t>
      </w:r>
      <w:proofErr w:type="spellStart"/>
      <w:r w:rsidRPr="007A012F">
        <w:rPr>
          <w:rFonts w:cstheme="minorHAnsi"/>
          <w:bCs/>
          <w:sz w:val="28"/>
          <w:szCs w:val="28"/>
          <w:lang w:val="en-US"/>
        </w:rPr>
        <w:t>Anaesthesiology</w:t>
      </w:r>
      <w:proofErr w:type="spellEnd"/>
      <w:r w:rsidRPr="007A012F">
        <w:rPr>
          <w:rFonts w:cstheme="minorHAnsi"/>
          <w:bCs/>
          <w:sz w:val="28"/>
          <w:szCs w:val="28"/>
          <w:lang w:val="en-US"/>
        </w:rPr>
        <w:t xml:space="preserve"> from SCB medical college, Odisha. She is faculty in various postgraduate courses </w:t>
      </w:r>
      <w:r w:rsidR="007A012F" w:rsidRPr="007A012F">
        <w:rPr>
          <w:rFonts w:cstheme="minorHAnsi"/>
          <w:bCs/>
          <w:sz w:val="28"/>
          <w:szCs w:val="28"/>
          <w:lang w:val="en-US"/>
        </w:rPr>
        <w:t>at national level. She has 20 publications in indexed journals.</w:t>
      </w:r>
      <w:r w:rsidRPr="007A012F">
        <w:rPr>
          <w:rFonts w:cstheme="minorHAnsi"/>
          <w:bCs/>
          <w:sz w:val="28"/>
          <w:szCs w:val="28"/>
          <w:lang w:val="en-US"/>
        </w:rPr>
        <w:t xml:space="preserve"> </w:t>
      </w:r>
    </w:p>
    <w:p w14:paraId="71B0C6DC" w14:textId="243E78A0" w:rsidR="00182CE3" w:rsidRPr="007A012F" w:rsidRDefault="00182CE3" w:rsidP="00182CE3">
      <w:pPr>
        <w:rPr>
          <w:rFonts w:cstheme="minorHAnsi"/>
          <w:bCs/>
          <w:sz w:val="28"/>
          <w:szCs w:val="28"/>
          <w:lang w:val="en-US"/>
        </w:rPr>
      </w:pPr>
      <w:r w:rsidRPr="007A012F">
        <w:rPr>
          <w:rFonts w:cstheme="minorHAnsi"/>
          <w:bCs/>
          <w:sz w:val="28"/>
          <w:szCs w:val="28"/>
          <w:lang w:val="en-US"/>
        </w:rPr>
        <w:t xml:space="preserve">Email: </w:t>
      </w:r>
      <w:hyperlink r:id="rId6" w:history="1">
        <w:r w:rsidR="007A012F" w:rsidRPr="007A012F">
          <w:rPr>
            <w:rStyle w:val="Hyperlink"/>
            <w:rFonts w:cstheme="minorHAnsi"/>
            <w:bCs/>
            <w:sz w:val="28"/>
            <w:szCs w:val="28"/>
            <w:lang w:val="en-US"/>
          </w:rPr>
          <w:t>suruchi0904@gmail.com</w:t>
        </w:r>
      </w:hyperlink>
    </w:p>
    <w:p w14:paraId="0FA78C5C" w14:textId="20DFF906" w:rsidR="007A012F" w:rsidRPr="007A012F" w:rsidRDefault="007A012F" w:rsidP="00182CE3">
      <w:pPr>
        <w:rPr>
          <w:rFonts w:cstheme="minorHAnsi"/>
          <w:bCs/>
          <w:sz w:val="28"/>
          <w:szCs w:val="28"/>
          <w:lang w:val="en-US"/>
        </w:rPr>
      </w:pPr>
      <w:r w:rsidRPr="007A012F">
        <w:rPr>
          <w:rFonts w:cstheme="minorHAnsi"/>
          <w:bCs/>
          <w:sz w:val="28"/>
          <w:szCs w:val="28"/>
          <w:lang w:val="en-US"/>
        </w:rPr>
        <w:t>Phone no - 9786025292</w:t>
      </w:r>
    </w:p>
    <w:p w14:paraId="0058B249" w14:textId="77777777" w:rsidR="00E52570" w:rsidRPr="007A012F" w:rsidRDefault="00E52570" w:rsidP="00E52570">
      <w:pPr>
        <w:rPr>
          <w:rFonts w:cstheme="minorHAnsi"/>
          <w:bCs/>
          <w:sz w:val="28"/>
          <w:szCs w:val="28"/>
          <w:lang w:val="en-US"/>
        </w:rPr>
      </w:pPr>
    </w:p>
    <w:p w14:paraId="51361F97" w14:textId="77777777" w:rsidR="00831C9B" w:rsidRPr="007A012F" w:rsidRDefault="00831C9B" w:rsidP="00831C9B">
      <w:pPr>
        <w:rPr>
          <w:rFonts w:cstheme="minorHAnsi"/>
          <w:bCs/>
          <w:sz w:val="28"/>
          <w:szCs w:val="28"/>
          <w:lang w:val="en-US"/>
        </w:rPr>
      </w:pPr>
    </w:p>
    <w:p w14:paraId="2466C74A" w14:textId="77777777" w:rsidR="00831C9B" w:rsidRPr="007A012F" w:rsidRDefault="00831C9B" w:rsidP="00831C9B">
      <w:pPr>
        <w:rPr>
          <w:rFonts w:cstheme="minorHAnsi"/>
          <w:b/>
          <w:sz w:val="28"/>
          <w:szCs w:val="28"/>
          <w:lang w:val="en-US"/>
        </w:rPr>
      </w:pPr>
    </w:p>
    <w:p w14:paraId="15F816C9" w14:textId="77777777" w:rsidR="00831C9B" w:rsidRPr="007A012F" w:rsidRDefault="00831C9B" w:rsidP="00831C9B">
      <w:pPr>
        <w:rPr>
          <w:rFonts w:cstheme="minorHAnsi"/>
          <w:b/>
          <w:sz w:val="28"/>
          <w:szCs w:val="28"/>
          <w:lang w:val="en-US"/>
        </w:rPr>
      </w:pPr>
    </w:p>
    <w:p w14:paraId="698ED9A2" w14:textId="77777777" w:rsidR="00831C9B" w:rsidRPr="007A012F" w:rsidRDefault="00831C9B" w:rsidP="00831C9B">
      <w:pPr>
        <w:rPr>
          <w:rFonts w:cstheme="minorHAnsi"/>
          <w:b/>
          <w:sz w:val="28"/>
          <w:szCs w:val="28"/>
          <w:lang w:val="en-US"/>
        </w:rPr>
      </w:pPr>
    </w:p>
    <w:p w14:paraId="28401A08" w14:textId="29038946" w:rsidR="00831C9B" w:rsidRPr="007A012F" w:rsidRDefault="00831C9B" w:rsidP="00831C9B">
      <w:pPr>
        <w:rPr>
          <w:rFonts w:cstheme="minorHAnsi"/>
          <w:b/>
          <w:sz w:val="28"/>
          <w:szCs w:val="28"/>
          <w:lang w:val="en-US"/>
        </w:rPr>
      </w:pPr>
    </w:p>
    <w:p w14:paraId="3E337A40" w14:textId="77777777" w:rsidR="00831C9B" w:rsidRPr="007A012F" w:rsidRDefault="00831C9B" w:rsidP="00831C9B">
      <w:pPr>
        <w:rPr>
          <w:rFonts w:cstheme="minorHAnsi"/>
          <w:b/>
          <w:sz w:val="28"/>
          <w:szCs w:val="28"/>
          <w:lang w:val="en-US"/>
        </w:rPr>
      </w:pPr>
    </w:p>
    <w:p w14:paraId="57E5BED1" w14:textId="77777777" w:rsidR="00831C9B" w:rsidRPr="007A012F" w:rsidRDefault="00831C9B">
      <w:pPr>
        <w:rPr>
          <w:rFonts w:cstheme="minorHAnsi"/>
          <w:sz w:val="28"/>
          <w:szCs w:val="28"/>
        </w:rPr>
      </w:pPr>
    </w:p>
    <w:sectPr w:rsidR="00831C9B" w:rsidRPr="007A01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9E1975"/>
    <w:multiLevelType w:val="hybridMultilevel"/>
    <w:tmpl w:val="39304DA4"/>
    <w:lvl w:ilvl="0" w:tplc="3B7ED0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288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C9B"/>
    <w:rsid w:val="00154598"/>
    <w:rsid w:val="00182CE3"/>
    <w:rsid w:val="001C40C4"/>
    <w:rsid w:val="00200389"/>
    <w:rsid w:val="002C5AA9"/>
    <w:rsid w:val="003B054A"/>
    <w:rsid w:val="0042322C"/>
    <w:rsid w:val="00491A82"/>
    <w:rsid w:val="0050752D"/>
    <w:rsid w:val="0075583E"/>
    <w:rsid w:val="007A012F"/>
    <w:rsid w:val="00831C9B"/>
    <w:rsid w:val="008B3609"/>
    <w:rsid w:val="00927233"/>
    <w:rsid w:val="00954F6B"/>
    <w:rsid w:val="00DD09E7"/>
    <w:rsid w:val="00E52570"/>
    <w:rsid w:val="00E56FCA"/>
    <w:rsid w:val="00F05E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BE212A"/>
  <w15:chartTrackingRefBased/>
  <w15:docId w15:val="{CAA4B9D1-3C19-49F3-8FEB-A95564313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C9B"/>
    <w:pPr>
      <w:spacing w:after="0" w:line="240" w:lineRule="auto"/>
      <w:ind w:left="720"/>
      <w:contextualSpacing/>
    </w:pPr>
    <w:rPr>
      <w:sz w:val="24"/>
      <w:szCs w:val="24"/>
    </w:rPr>
  </w:style>
  <w:style w:type="table" w:styleId="TableGrid">
    <w:name w:val="Table Grid"/>
    <w:basedOn w:val="TableNormal"/>
    <w:uiPriority w:val="39"/>
    <w:rsid w:val="00491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012F"/>
    <w:rPr>
      <w:color w:val="0563C1" w:themeColor="hyperlink"/>
      <w:u w:val="single"/>
    </w:rPr>
  </w:style>
  <w:style w:type="character" w:styleId="UnresolvedMention">
    <w:name w:val="Unresolved Mention"/>
    <w:basedOn w:val="DefaultParagraphFont"/>
    <w:uiPriority w:val="99"/>
    <w:semiHidden/>
    <w:unhideWhenUsed/>
    <w:rsid w:val="007A0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ruchi0904@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645</Words>
  <Characters>3631</Characters>
  <Application>Microsoft Office Word</Application>
  <DocSecurity>0</DocSecurity>
  <Lines>88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suruchi ambasta</cp:lastModifiedBy>
  <cp:revision>6</cp:revision>
  <dcterms:created xsi:type="dcterms:W3CDTF">2022-10-18T06:47:00Z</dcterms:created>
  <dcterms:modified xsi:type="dcterms:W3CDTF">2022-10-18T07:27:00Z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a6b183f6aa96cedbf8ceadbc30573bbec9ee7973f603d845efccd4117c852ade</vt:lpwstr>
  </property>
</Properties>
</file>