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0C4" w:rsidRDefault="000070C4" w:rsidP="00992913">
      <w:pPr>
        <w:rPr>
          <w:rFonts w:ascii="Times New Roman" w:eastAsia="Times New Roman" w:hAnsi="Times New Roman" w:cs="Times New Roman"/>
          <w:b/>
          <w:bCs/>
          <w:color w:val="212121"/>
          <w:kern w:val="36"/>
          <w:sz w:val="32"/>
          <w:szCs w:val="32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32"/>
          <w:szCs w:val="32"/>
          <w:lang w:eastAsia="en-IN"/>
        </w:rPr>
        <w:t>FUNCTIONAL OUTCOME ANALYSIS OF DEGENERATIVE TENDOACHILLES RUPTURES TREATED WITH AUGMENTED REPAIR USING PERONEUS BREVIS</w:t>
      </w:r>
    </w:p>
    <w:p w:rsidR="000070C4" w:rsidRDefault="000070C4" w:rsidP="00992913">
      <w:pPr>
        <w:rPr>
          <w:rFonts w:ascii="Times New Roman" w:eastAsia="Times New Roman" w:hAnsi="Times New Roman" w:cs="Times New Roman"/>
          <w:b/>
          <w:bCs/>
          <w:color w:val="212121"/>
          <w:kern w:val="36"/>
          <w:sz w:val="32"/>
          <w:szCs w:val="32"/>
          <w:lang w:eastAsia="en-IN"/>
        </w:rPr>
      </w:pPr>
    </w:p>
    <w:p w:rsidR="00992913" w:rsidRPr="00992913" w:rsidRDefault="00992913" w:rsidP="00992913">
      <w:pPr>
        <w:rPr>
          <w:rFonts w:ascii="Times New Roman" w:hAnsi="Times New Roman" w:cs="Times New Roman"/>
          <w:sz w:val="21"/>
        </w:rPr>
      </w:pPr>
      <w:r w:rsidRPr="00992913">
        <w:rPr>
          <w:rFonts w:ascii="Times New Roman" w:hAnsi="Times New Roman" w:cs="Times New Roman"/>
          <w:sz w:val="21"/>
        </w:rPr>
        <w:t xml:space="preserve">Dr </w:t>
      </w:r>
      <w:proofErr w:type="spellStart"/>
      <w:r w:rsidRPr="00992913">
        <w:rPr>
          <w:rFonts w:ascii="Times New Roman" w:hAnsi="Times New Roman" w:cs="Times New Roman"/>
          <w:sz w:val="21"/>
        </w:rPr>
        <w:t>Swagat</w:t>
      </w:r>
      <w:proofErr w:type="spellEnd"/>
      <w:r w:rsidRPr="00992913">
        <w:rPr>
          <w:rFonts w:ascii="Times New Roman" w:hAnsi="Times New Roman" w:cs="Times New Roman"/>
          <w:sz w:val="21"/>
        </w:rPr>
        <w:t xml:space="preserve"> </w:t>
      </w:r>
      <w:proofErr w:type="spellStart"/>
      <w:r w:rsidRPr="00992913">
        <w:rPr>
          <w:rFonts w:ascii="Times New Roman" w:hAnsi="Times New Roman" w:cs="Times New Roman"/>
          <w:sz w:val="21"/>
        </w:rPr>
        <w:t>Mahapatra</w:t>
      </w:r>
      <w:proofErr w:type="spellEnd"/>
      <w:r w:rsidRPr="00992913">
        <w:rPr>
          <w:rFonts w:ascii="Times New Roman" w:hAnsi="Times New Roman" w:cs="Times New Roman"/>
          <w:sz w:val="21"/>
        </w:rPr>
        <w:t>, Department of Orthopaedics, Dr RMLIMS, Lucknow, India</w:t>
      </w:r>
    </w:p>
    <w:p w:rsidR="00992913" w:rsidRDefault="00992913" w:rsidP="00992913">
      <w:pPr>
        <w:rPr>
          <w:rFonts w:ascii="Arial"/>
          <w:sz w:val="21"/>
        </w:rPr>
      </w:pPr>
    </w:p>
    <w:p w:rsidR="00992913" w:rsidRDefault="00992913" w:rsidP="00992913">
      <w:pPr>
        <w:widowControl/>
        <w:rPr>
          <w:rFonts w:ascii="Arial"/>
          <w:sz w:val="21"/>
        </w:rPr>
        <w:sectPr w:rsidR="00992913">
          <w:pgSz w:w="11910" w:h="16840"/>
          <w:pgMar w:top="1740" w:right="600" w:bottom="840" w:left="620" w:header="541" w:footer="642" w:gutter="0"/>
          <w:cols w:space="720"/>
        </w:sectPr>
      </w:pPr>
    </w:p>
    <w:p w:rsidR="00992913" w:rsidRDefault="00992913" w:rsidP="00992913">
      <w:pPr>
        <w:pStyle w:val="BodyText"/>
        <w:spacing w:before="90" w:line="278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lastRenderedPageBreak/>
        <w:t>BACKGROUND: Degenerative ruptures of tendoachilles typically o</w:t>
      </w:r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ccur after the age of 30 years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. In the past this injury was treated with end suturing and a plaster cast, but this was associated with high rates of re-ruptures and weakened push off. Hence, there is rationale to perform reconstruction using an expendable tendon such as the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peroneus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brevis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. </w:t>
      </w:r>
    </w:p>
    <w:p w:rsidR="00992913" w:rsidRPr="00992913" w:rsidRDefault="00992913" w:rsidP="00992913">
      <w:pPr>
        <w:pStyle w:val="BodyText"/>
        <w:spacing w:before="90" w:line="278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OBJECTIVE: To evaluate the functional outcome of repair with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Peroneus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Brevis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augmentation in Degenerative Tendoachilles tears. </w:t>
      </w:r>
    </w:p>
    <w:p w:rsidR="00992913" w:rsidRPr="00992913" w:rsidRDefault="00992913" w:rsidP="00992913">
      <w:pPr>
        <w:pStyle w:val="BodyText"/>
        <w:spacing w:before="90" w:line="278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MATERIALS AND METHODS: This was a retrospective Cohort study with sample size- Twenty patients. The study population included patients with degenerative Tendoachilles tears. Intervention done in these patients was Tendoachilles repair with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peroneus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Brevis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augmentation. Objective outcome measures included range of motion, toe raise, neurological examination.  Subjective criteria included Modified Rupp Score. </w:t>
      </w:r>
    </w:p>
    <w:p w:rsidR="00992913" w:rsidRPr="00992913" w:rsidRDefault="00992913" w:rsidP="00992913">
      <w:pPr>
        <w:pStyle w:val="BodyText"/>
        <w:spacing w:before="90" w:line="278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RESULTS: Study group (n=20) included in the evaluation were homogenous in terms of age and sex distribution. Average dorsiflexion was 18° (compared to 24°on the non-injured side) and average plantarflexion was 26° (compared to 35°on the non-injured side). Results of testing the patient’s ability to toe raise for 60 seconds, 13 patients were able to sustain, while 5 patients were able to raise the toe but could not sustain it. </w:t>
      </w:r>
      <w:proofErr w:type="gram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Two.</w:t>
      </w:r>
      <w:proofErr w:type="gram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Three patients complained of sensory hypoesthesia at 18 months follow-up. 85 % patients had excellent or good results and 15% had fair or poor results. One patient à re-rupture, one</w:t>
      </w:r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patient had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superfici</w:t>
      </w:r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al postoperative infection and two patients had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hypertrophic scarring. </w:t>
      </w:r>
    </w:p>
    <w:p w:rsidR="00992913" w:rsidRPr="00992913" w:rsidRDefault="00992913" w:rsidP="00992913">
      <w:pPr>
        <w:pStyle w:val="BodyText"/>
        <w:spacing w:before="90" w:line="278" w:lineRule="auto"/>
        <w:jc w:val="both"/>
        <w:rPr>
          <w:rFonts w:ascii="Times New Roman" w:hAnsi="Times New Roman" w:cs="Times New Roman"/>
          <w:color w:val="000000" w:themeColor="text1"/>
          <w:lang w:val="en-IN"/>
        </w:rPr>
      </w:pP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CONCLUSION: Advantages of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Peroneus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Brevis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Augmentation include Incorporation of a healthy tendon and hence reliable healing potential and expendable tendon with little disability in its absence. Results show a strong and stable repair. Allows early weight</w:t>
      </w:r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bearing </w:t>
      </w:r>
      <w:proofErr w:type="gramStart"/>
      <w:r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with a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>favourable</w:t>
      </w:r>
      <w:proofErr w:type="spell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clinical results</w:t>
      </w:r>
      <w:proofErr w:type="gramEnd"/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t xml:space="preserve"> in most </w:t>
      </w:r>
      <w:r w:rsidRPr="00992913">
        <w:rPr>
          <w:rFonts w:ascii="Times New Roman" w:eastAsia="Arial" w:hAnsi="Times New Roman" w:cs="Times New Roman"/>
          <w:bCs/>
          <w:color w:val="000000" w:themeColor="text1"/>
          <w:sz w:val="20"/>
          <w:szCs w:val="20"/>
        </w:rPr>
        <w:lastRenderedPageBreak/>
        <w:t xml:space="preserve">patients. Care must be taken to prevent wound problems and deep infection. </w:t>
      </w:r>
    </w:p>
    <w:p w:rsidR="00992913" w:rsidRDefault="00992913" w:rsidP="00992913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color w:val="000000" w:themeColor="text1"/>
        </w:rPr>
      </w:pPr>
    </w:p>
    <w:p w:rsidR="00992913" w:rsidRDefault="00992913" w:rsidP="00992913">
      <w:pPr>
        <w:spacing w:line="204" w:lineRule="exac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color w:val="BF5A14"/>
          <w:sz w:val="20"/>
        </w:rPr>
        <w:br/>
        <w:t xml:space="preserve">Recent Publications </w:t>
      </w:r>
    </w:p>
    <w:p w:rsidR="00992913" w:rsidRDefault="00992913" w:rsidP="00992913">
      <w:pPr>
        <w:numPr>
          <w:ilvl w:val="0"/>
          <w:numId w:val="1"/>
        </w:num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Cs/>
          <w:sz w:val="18"/>
          <w:szCs w:val="18"/>
          <w:lang w:val="en-IN"/>
        </w:rPr>
        <w:t>Aggarwal</w:t>
      </w:r>
      <w:proofErr w:type="spellEnd"/>
      <w:r>
        <w:rPr>
          <w:rFonts w:ascii="Times New Roman" w:hAnsi="Times New Roman" w:cs="Times New Roman"/>
          <w:bCs/>
          <w:sz w:val="18"/>
          <w:szCs w:val="18"/>
          <w:lang w:val="en-IN"/>
        </w:rPr>
        <w:t xml:space="preserve"> P</w:t>
      </w:r>
      <w:r>
        <w:rPr>
          <w:rFonts w:ascii="Times New Roman" w:hAnsi="Times New Roman" w:cs="Times New Roman"/>
          <w:sz w:val="18"/>
          <w:szCs w:val="18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IN"/>
        </w:rPr>
        <w:t>Mahapatra</w:t>
      </w:r>
      <w:proofErr w:type="spellEnd"/>
      <w:r>
        <w:rPr>
          <w:rFonts w:ascii="Times New Roman" w:hAnsi="Times New Roman" w:cs="Times New Roman"/>
          <w:b/>
          <w:sz w:val="18"/>
          <w:szCs w:val="18"/>
          <w:lang w:val="en-IN"/>
        </w:rPr>
        <w:t xml:space="preserve"> S</w:t>
      </w:r>
      <w:r>
        <w:rPr>
          <w:rFonts w:ascii="Times New Roman" w:hAnsi="Times New Roman" w:cs="Times New Roman"/>
          <w:sz w:val="18"/>
          <w:szCs w:val="18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Awasthi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S, Kumar V,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Aslam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A. Functional outcomes of quadrupled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semitendinosus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vs. four strand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semitendinosus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/ Gracilis graft for arthroscopic ACL reconstruction. International Journal of Orthopaedics Sciences 2020; 6(1): 1291-1295</w:t>
      </w:r>
    </w:p>
    <w:p w:rsidR="00992913" w:rsidRDefault="00992913" w:rsidP="009929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992913" w:rsidRDefault="00992913" w:rsidP="00992913">
      <w:pPr>
        <w:numPr>
          <w:ilvl w:val="0"/>
          <w:numId w:val="1"/>
        </w:num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Tripathi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SS, 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IN"/>
        </w:rPr>
        <w:t>Mahapatra</w:t>
      </w:r>
      <w:proofErr w:type="spellEnd"/>
      <w:r>
        <w:rPr>
          <w:rFonts w:ascii="Times New Roman" w:hAnsi="Times New Roman" w:cs="Times New Roman"/>
          <w:b/>
          <w:sz w:val="18"/>
          <w:szCs w:val="18"/>
          <w:lang w:val="en-IN"/>
        </w:rPr>
        <w:t xml:space="preserve"> S</w:t>
      </w:r>
      <w:r>
        <w:rPr>
          <w:rFonts w:ascii="Times New Roman" w:hAnsi="Times New Roman" w:cs="Times New Roman"/>
          <w:sz w:val="18"/>
          <w:szCs w:val="18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Ambasta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S,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etal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. Evaluation of approach of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fluidresuscitation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protocols in primary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traumacare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- a survey-based experience. J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EvidBased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Med 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Healthc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 xml:space="preserve"> 2021;8(13):816-822.DOI: 10.18410/</w:t>
      </w:r>
      <w:proofErr w:type="spellStart"/>
      <w:r>
        <w:rPr>
          <w:rFonts w:ascii="Times New Roman" w:hAnsi="Times New Roman" w:cs="Times New Roman"/>
          <w:sz w:val="18"/>
          <w:szCs w:val="18"/>
          <w:lang w:val="en-IN"/>
        </w:rPr>
        <w:t>jebmh</w:t>
      </w:r>
      <w:proofErr w:type="spellEnd"/>
      <w:r>
        <w:rPr>
          <w:rFonts w:ascii="Times New Roman" w:hAnsi="Times New Roman" w:cs="Times New Roman"/>
          <w:sz w:val="18"/>
          <w:szCs w:val="18"/>
          <w:lang w:val="en-IN"/>
        </w:rPr>
        <w:t>/2021/160</w:t>
      </w:r>
    </w:p>
    <w:p w:rsidR="00992913" w:rsidRDefault="00992913" w:rsidP="009929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</w:p>
    <w:p w:rsidR="00992913" w:rsidRDefault="00992913" w:rsidP="00992913">
      <w:pPr>
        <w:numPr>
          <w:ilvl w:val="0"/>
          <w:numId w:val="1"/>
        </w:num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Mahapatra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S</w:t>
      </w:r>
      <w:r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Aggarwal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P, Singh HP Large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Schwannoma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of the TibialNerve.JCR 2020;10:197-200</w:t>
      </w:r>
    </w:p>
    <w:p w:rsidR="00992913" w:rsidRDefault="00992913" w:rsidP="009929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</w:p>
    <w:p w:rsidR="00992913" w:rsidRDefault="00992913" w:rsidP="00992913">
      <w:pPr>
        <w:numPr>
          <w:ilvl w:val="0"/>
          <w:numId w:val="1"/>
        </w:num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Tripathi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SS, </w:t>
      </w:r>
      <w:proofErr w:type="spellStart"/>
      <w:r>
        <w:rPr>
          <w:rFonts w:ascii="Times New Roman" w:hAnsi="Times New Roman" w:cs="Times New Roman"/>
          <w:sz w:val="18"/>
          <w:szCs w:val="18"/>
        </w:rPr>
        <w:t>Ambasta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Mahapatra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S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Agarwal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sz w:val="18"/>
          <w:szCs w:val="18"/>
        </w:rPr>
        <w:t>Rastogi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S.(2021).</w:t>
      </w:r>
      <w:r>
        <w:rPr>
          <w:rFonts w:ascii="Times New Roman" w:hAnsi="Times New Roman" w:cs="Times New Roman"/>
          <w:iCs/>
          <w:sz w:val="18"/>
          <w:szCs w:val="18"/>
        </w:rPr>
        <w:t>Evaluation of Efficacy of Femoral Nerve Block on Pain and Anxiety in Acute Fractures of the Femur in the Emergency Department</w:t>
      </w:r>
      <w:r>
        <w:rPr>
          <w:rFonts w:ascii="Times New Roman" w:hAnsi="Times New Roman" w:cs="Times New Roman"/>
          <w:sz w:val="18"/>
          <w:szCs w:val="18"/>
        </w:rPr>
        <w:t>, </w:t>
      </w:r>
      <w:r>
        <w:rPr>
          <w:rFonts w:ascii="Times New Roman" w:hAnsi="Times New Roman" w:cs="Times New Roman"/>
          <w:iCs/>
          <w:sz w:val="18"/>
          <w:szCs w:val="18"/>
        </w:rPr>
        <w:t>15</w:t>
      </w:r>
      <w:r>
        <w:rPr>
          <w:rFonts w:ascii="Times New Roman" w:hAnsi="Times New Roman" w:cs="Times New Roman"/>
          <w:sz w:val="18"/>
          <w:szCs w:val="18"/>
        </w:rPr>
        <w:t>(3), RC06-RC10. </w:t>
      </w:r>
      <w:r>
        <w:rPr>
          <w:rFonts w:ascii="Times New Roman" w:hAnsi="Times New Roman" w:cs="Times New Roman"/>
          <w:sz w:val="18"/>
          <w:szCs w:val="18"/>
          <w:lang w:val="en-IN"/>
        </w:rPr>
        <w:t xml:space="preserve"> </w:t>
      </w:r>
    </w:p>
    <w:p w:rsidR="00992913" w:rsidRDefault="00992913" w:rsidP="009929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  <w:lang w:val="en-IN"/>
        </w:rPr>
      </w:pPr>
    </w:p>
    <w:p w:rsidR="00992913" w:rsidRDefault="00992913" w:rsidP="00992913">
      <w:pPr>
        <w:pStyle w:val="ListParagraph"/>
        <w:widowControl/>
        <w:numPr>
          <w:ilvl w:val="0"/>
          <w:numId w:val="1"/>
        </w:numPr>
        <w:suppressAutoHyphens/>
        <w:spacing w:before="0" w:line="240" w:lineRule="auto"/>
        <w:rPr>
          <w:rFonts w:ascii="Times New Roman" w:eastAsiaTheme="minorHAnsi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hAnsi="Times New Roman" w:cs="Times New Roman"/>
          <w:b/>
          <w:sz w:val="18"/>
          <w:szCs w:val="18"/>
        </w:rPr>
        <w:t>Mahapatra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S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Tripathi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S, Kumar V, et al. (April 21, 2021) Evaluation of Patterns of Trauma Reporting to the Emergency Department During the First COVID-19 Lockdown in India. </w:t>
      </w:r>
      <w:proofErr w:type="spellStart"/>
      <w:r>
        <w:rPr>
          <w:rFonts w:ascii="Times New Roman" w:hAnsi="Times New Roman" w:cs="Times New Roman"/>
          <w:sz w:val="18"/>
          <w:szCs w:val="18"/>
        </w:rPr>
        <w:t>Cureus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13(4): e14609. doi:10.7759/cureus.14609</w:t>
      </w:r>
    </w:p>
    <w:p w:rsidR="00992913" w:rsidRDefault="00992913" w:rsidP="00992913">
      <w:pPr>
        <w:pStyle w:val="ListParagraph"/>
        <w:rPr>
          <w:rFonts w:ascii="Times New Roman" w:eastAsiaTheme="minorHAnsi" w:hAnsi="Times New Roman" w:cs="Times New Roman"/>
          <w:sz w:val="18"/>
          <w:szCs w:val="18"/>
        </w:rPr>
      </w:pPr>
    </w:p>
    <w:p w:rsidR="00992913" w:rsidRDefault="00992913" w:rsidP="00992913">
      <w:pPr>
        <w:pStyle w:val="ListParagraph"/>
        <w:widowControl/>
        <w:numPr>
          <w:ilvl w:val="0"/>
          <w:numId w:val="1"/>
        </w:numPr>
        <w:suppressAutoHyphens/>
        <w:spacing w:before="0" w:line="240" w:lineRule="auto"/>
        <w:rPr>
          <w:rFonts w:ascii="Times New Roman" w:eastAsiaTheme="minorHAnsi" w:hAnsi="Times New Roman" w:cs="Times New Roman"/>
          <w:sz w:val="18"/>
          <w:szCs w:val="18"/>
          <w:lang w:val="en-IN"/>
        </w:rPr>
      </w:pP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Aggarwal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P, </w:t>
      </w:r>
      <w:proofErr w:type="spellStart"/>
      <w:r>
        <w:rPr>
          <w:rFonts w:ascii="Times New Roman" w:eastAsiaTheme="minorHAnsi" w:hAnsi="Times New Roman" w:cs="Times New Roman"/>
          <w:b/>
          <w:sz w:val="18"/>
          <w:szCs w:val="18"/>
        </w:rPr>
        <w:t>Mahapatra</w:t>
      </w:r>
      <w:proofErr w:type="spellEnd"/>
      <w:r>
        <w:rPr>
          <w:rFonts w:ascii="Times New Roman" w:eastAsiaTheme="minorHAnsi" w:hAnsi="Times New Roman" w:cs="Times New Roman"/>
          <w:b/>
          <w:sz w:val="18"/>
          <w:szCs w:val="18"/>
        </w:rPr>
        <w:t xml:space="preserve"> S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Avasthi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S,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Aslam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A, Kumar V. Role of serum and synovial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procalcitonin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in differentiating septic from non-septic arthritis- a prospective study. J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Clin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Orthop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Trauma. 2022 Jul 10</w:t>
      </w:r>
      <w:proofErr w:type="gramStart"/>
      <w:r>
        <w:rPr>
          <w:rFonts w:ascii="Times New Roman" w:eastAsiaTheme="minorHAnsi" w:hAnsi="Times New Roman" w:cs="Times New Roman"/>
          <w:sz w:val="18"/>
          <w:szCs w:val="18"/>
        </w:rPr>
        <w:t>;31:101948</w:t>
      </w:r>
      <w:proofErr w:type="gramEnd"/>
      <w:r>
        <w:rPr>
          <w:rFonts w:ascii="Times New Roman" w:eastAsiaTheme="minorHAnsi" w:hAnsi="Times New Roman" w:cs="Times New Roman"/>
          <w:sz w:val="18"/>
          <w:szCs w:val="18"/>
        </w:rPr>
        <w:t xml:space="preserve">. </w:t>
      </w:r>
      <w:proofErr w:type="spellStart"/>
      <w:proofErr w:type="gramStart"/>
      <w:r>
        <w:rPr>
          <w:rFonts w:ascii="Times New Roman" w:eastAsiaTheme="minorHAnsi" w:hAnsi="Times New Roman" w:cs="Times New Roman"/>
          <w:sz w:val="18"/>
          <w:szCs w:val="18"/>
        </w:rPr>
        <w:t>doi</w:t>
      </w:r>
      <w:proofErr w:type="spellEnd"/>
      <w:proofErr w:type="gramEnd"/>
      <w:r>
        <w:rPr>
          <w:rFonts w:ascii="Times New Roman" w:eastAsiaTheme="minorHAnsi" w:hAnsi="Times New Roman" w:cs="Times New Roman"/>
          <w:sz w:val="18"/>
          <w:szCs w:val="18"/>
        </w:rPr>
        <w:t>: 10.1016/j.jcot.2022.101948. PMID: 35865327; PMCID: PMC9293762.</w:t>
      </w:r>
    </w:p>
    <w:p w:rsidR="00992913" w:rsidRDefault="00992913" w:rsidP="00992913">
      <w:pPr>
        <w:pStyle w:val="ListParagraph"/>
        <w:ind w:left="0" w:firstLine="0"/>
        <w:rPr>
          <w:rFonts w:ascii="Times New Roman" w:eastAsiaTheme="minorHAnsi" w:hAnsi="Times New Roman" w:cs="Times New Roman"/>
          <w:sz w:val="18"/>
          <w:szCs w:val="18"/>
          <w:lang w:val="en-IN"/>
        </w:rPr>
      </w:pPr>
    </w:p>
    <w:p w:rsidR="00992913" w:rsidRDefault="00992913" w:rsidP="00992913">
      <w:pPr>
        <w:pStyle w:val="ListParagraph"/>
        <w:widowControl/>
        <w:numPr>
          <w:ilvl w:val="0"/>
          <w:numId w:val="1"/>
        </w:numPr>
        <w:suppressAutoHyphens/>
        <w:spacing w:before="0" w:line="240" w:lineRule="auto"/>
        <w:rPr>
          <w:rFonts w:ascii="Times New Roman" w:eastAsiaTheme="minorHAnsi" w:hAnsi="Times New Roman" w:cs="Times New Roman"/>
          <w:sz w:val="18"/>
          <w:szCs w:val="18"/>
          <w:lang w:val="en-IN"/>
        </w:rPr>
      </w:pPr>
      <w:r>
        <w:rPr>
          <w:rFonts w:ascii="Times New Roman" w:eastAsiaTheme="minorHAnsi" w:hAnsi="Times New Roman" w:cs="Times New Roman"/>
          <w:sz w:val="18"/>
          <w:szCs w:val="18"/>
        </w:rPr>
        <w:t xml:space="preserve">Kumar V,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Waliullah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S,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Avasthi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S, </w:t>
      </w:r>
      <w:proofErr w:type="spellStart"/>
      <w:r>
        <w:rPr>
          <w:rFonts w:ascii="Times New Roman" w:eastAsiaTheme="minorHAnsi" w:hAnsi="Times New Roman" w:cs="Times New Roman"/>
          <w:b/>
          <w:sz w:val="18"/>
          <w:szCs w:val="18"/>
        </w:rPr>
        <w:t>Mahapatra</w:t>
      </w:r>
      <w:proofErr w:type="spellEnd"/>
      <w:r>
        <w:rPr>
          <w:rFonts w:ascii="Times New Roman" w:eastAsiaTheme="minorHAnsi" w:hAnsi="Times New Roman" w:cs="Times New Roman"/>
          <w:b/>
          <w:sz w:val="18"/>
          <w:szCs w:val="18"/>
        </w:rPr>
        <w:t xml:space="preserve"> S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, Singh A, Ali S. Functional and Radiological Outcome Analysis of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Osteoperiosteal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Decortication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 xml:space="preserve"> Flap in Nonunion of Tibia. Adv </w:t>
      </w:r>
      <w:proofErr w:type="spellStart"/>
      <w:r>
        <w:rPr>
          <w:rFonts w:ascii="Times New Roman" w:eastAsiaTheme="minorHAnsi" w:hAnsi="Times New Roman" w:cs="Times New Roman"/>
          <w:sz w:val="18"/>
          <w:szCs w:val="18"/>
        </w:rPr>
        <w:t>Orthop</w:t>
      </w:r>
      <w:proofErr w:type="spellEnd"/>
      <w:r>
        <w:rPr>
          <w:rFonts w:ascii="Times New Roman" w:eastAsiaTheme="minorHAnsi" w:hAnsi="Times New Roman" w:cs="Times New Roman"/>
          <w:sz w:val="18"/>
          <w:szCs w:val="18"/>
        </w:rPr>
        <w:t>. 2021 Jul 21</w:t>
      </w:r>
      <w:proofErr w:type="gramStart"/>
      <w:r>
        <w:rPr>
          <w:rFonts w:ascii="Times New Roman" w:eastAsiaTheme="minorHAnsi" w:hAnsi="Times New Roman" w:cs="Times New Roman"/>
          <w:sz w:val="18"/>
          <w:szCs w:val="18"/>
        </w:rPr>
        <w:t>;2021:7980602</w:t>
      </w:r>
      <w:proofErr w:type="gramEnd"/>
      <w:r>
        <w:rPr>
          <w:rFonts w:ascii="Times New Roman" w:eastAsiaTheme="minorHAnsi" w:hAnsi="Times New Roman" w:cs="Times New Roman"/>
          <w:sz w:val="18"/>
          <w:szCs w:val="18"/>
        </w:rPr>
        <w:t xml:space="preserve">. </w:t>
      </w:r>
      <w:proofErr w:type="spellStart"/>
      <w:proofErr w:type="gramStart"/>
      <w:r>
        <w:rPr>
          <w:rFonts w:ascii="Times New Roman" w:eastAsiaTheme="minorHAnsi" w:hAnsi="Times New Roman" w:cs="Times New Roman"/>
          <w:sz w:val="18"/>
          <w:szCs w:val="18"/>
        </w:rPr>
        <w:t>doi</w:t>
      </w:r>
      <w:proofErr w:type="spellEnd"/>
      <w:proofErr w:type="gramEnd"/>
      <w:r>
        <w:rPr>
          <w:rFonts w:ascii="Times New Roman" w:eastAsiaTheme="minorHAnsi" w:hAnsi="Times New Roman" w:cs="Times New Roman"/>
          <w:sz w:val="18"/>
          <w:szCs w:val="18"/>
        </w:rPr>
        <w:t>: 10.1155/2021/7980602. PMID: 34336293; PMCID: PMC8318746.</w:t>
      </w:r>
    </w:p>
    <w:p w:rsidR="00992913" w:rsidRDefault="00992913" w:rsidP="00992913">
      <w:pPr>
        <w:widowControl/>
        <w:rPr>
          <w:rFonts w:ascii="Times New Roman" w:hAnsi="Times New Roman" w:cs="Times New Roman"/>
          <w:sz w:val="18"/>
          <w:szCs w:val="18"/>
          <w:lang w:val="en-IN"/>
        </w:rPr>
        <w:sectPr w:rsidR="009929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992913" w:rsidRDefault="00992913" w:rsidP="00992913">
      <w:pPr>
        <w:pStyle w:val="BodyText"/>
        <w:rPr>
          <w:rFonts w:ascii="Calibri"/>
          <w:sz w:val="20"/>
        </w:rPr>
      </w:pPr>
    </w:p>
    <w:p w:rsidR="00992913" w:rsidRDefault="00D57823" w:rsidP="00992913">
      <w:pPr>
        <w:pStyle w:val="BodyText"/>
        <w:spacing w:line="40" w:lineRule="exact"/>
        <w:ind w:left="2202"/>
        <w:rPr>
          <w:rFonts w:ascii="Calibri"/>
          <w:sz w:val="4"/>
        </w:rPr>
      </w:pPr>
      <w:r w:rsidRPr="00D57823"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992913" w:rsidRDefault="00992913" w:rsidP="00992913">
      <w:pPr>
        <w:spacing w:before="92"/>
        <w:ind w:right="4234"/>
        <w:rPr>
          <w:noProof/>
        </w:rPr>
      </w:pPr>
      <w:r>
        <w:rPr>
          <w:noProof/>
        </w:rPr>
        <w:t xml:space="preserve">             </w:t>
      </w: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  <w:r>
        <w:rPr>
          <w:noProof/>
        </w:rPr>
        <w:t>SHORT BIOGRAPHY OF AUTHOR</w:t>
      </w: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right="4234"/>
        <w:rPr>
          <w:noProof/>
        </w:rPr>
      </w:pPr>
    </w:p>
    <w:p w:rsidR="00992913" w:rsidRDefault="00992913" w:rsidP="00992913">
      <w:pPr>
        <w:spacing w:before="92"/>
        <w:ind w:left="720" w:right="4234" w:firstLine="720"/>
        <w:rPr>
          <w:rFonts w:ascii="Arial"/>
          <w:color w:val="BF5A14"/>
        </w:rPr>
      </w:pPr>
      <w:r>
        <w:rPr>
          <w:noProof/>
        </w:rPr>
        <w:drawing>
          <wp:inline distT="0" distB="0" distL="0" distR="0">
            <wp:extent cx="1257300" cy="1619250"/>
            <wp:effectExtent l="19050" t="0" r="0" b="0"/>
            <wp:docPr id="2" name="Picture 2" descr="passport photo -apron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sport photo -apron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913" w:rsidRDefault="00992913" w:rsidP="00992913">
      <w:pPr>
        <w:spacing w:before="92"/>
        <w:ind w:right="42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Dr </w:t>
      </w:r>
      <w:proofErr w:type="spellStart"/>
      <w:r>
        <w:rPr>
          <w:rFonts w:ascii="Times New Roman" w:hAnsi="Times New Roman" w:cs="Times New Roman"/>
          <w:sz w:val="24"/>
        </w:rPr>
        <w:t>Swagat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Mahapatra</w:t>
      </w:r>
      <w:proofErr w:type="spellEnd"/>
      <w:r>
        <w:rPr>
          <w:rFonts w:ascii="Times New Roman" w:hAnsi="Times New Roman" w:cs="Times New Roman"/>
          <w:sz w:val="24"/>
        </w:rPr>
        <w:t xml:space="preserve"> is Associate Professor, Department of </w:t>
      </w:r>
      <w:proofErr w:type="spellStart"/>
      <w:r>
        <w:rPr>
          <w:rFonts w:ascii="Times New Roman" w:hAnsi="Times New Roman" w:cs="Times New Roman"/>
          <w:sz w:val="24"/>
        </w:rPr>
        <w:t>Orthopaedics</w:t>
      </w:r>
      <w:proofErr w:type="spellEnd"/>
      <w:r>
        <w:rPr>
          <w:rFonts w:ascii="Times New Roman" w:hAnsi="Times New Roman" w:cs="Times New Roman"/>
          <w:sz w:val="24"/>
        </w:rPr>
        <w:t xml:space="preserve"> and Consultant Hand Surgeon at Dr Ram </w:t>
      </w:r>
      <w:proofErr w:type="spellStart"/>
      <w:r>
        <w:rPr>
          <w:rFonts w:ascii="Times New Roman" w:hAnsi="Times New Roman" w:cs="Times New Roman"/>
          <w:sz w:val="24"/>
        </w:rPr>
        <w:t>Manohar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Lohia</w:t>
      </w:r>
      <w:proofErr w:type="spellEnd"/>
      <w:r>
        <w:rPr>
          <w:rFonts w:ascii="Times New Roman" w:hAnsi="Times New Roman" w:cs="Times New Roman"/>
          <w:sz w:val="24"/>
        </w:rPr>
        <w:t xml:space="preserve"> Institute of Institute of Medical Sciences, Lucknow, India. He has done his post Graduation in </w:t>
      </w:r>
      <w:proofErr w:type="spellStart"/>
      <w:r>
        <w:rPr>
          <w:rFonts w:ascii="Times New Roman" w:hAnsi="Times New Roman" w:cs="Times New Roman"/>
          <w:sz w:val="24"/>
        </w:rPr>
        <w:t>Orthopaedics</w:t>
      </w:r>
      <w:proofErr w:type="spellEnd"/>
      <w:r>
        <w:rPr>
          <w:rFonts w:ascii="Times New Roman" w:hAnsi="Times New Roman" w:cs="Times New Roman"/>
          <w:sz w:val="24"/>
        </w:rPr>
        <w:t xml:space="preserve"> and has completed his Post Doctoral Fellowship in Hand and Reconstructive Microsurgery. He is also a diploma holder from the Royal College of Surgeons of Edinburgh. He has more than 50 Publications in international high impact journals. He specializes as a clinician as well as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 academician in the field of </w:t>
      </w:r>
      <w:proofErr w:type="spellStart"/>
      <w:r>
        <w:rPr>
          <w:rFonts w:ascii="Times New Roman" w:hAnsi="Times New Roman" w:cs="Times New Roman"/>
          <w:sz w:val="24"/>
        </w:rPr>
        <w:t>Orthopaedics</w:t>
      </w:r>
      <w:proofErr w:type="spellEnd"/>
      <w:r>
        <w:rPr>
          <w:rFonts w:ascii="Times New Roman" w:hAnsi="Times New Roman" w:cs="Times New Roman"/>
          <w:sz w:val="24"/>
        </w:rPr>
        <w:t>, Joint Surgery, Trauma, Hand Surgery and Peripheral Nerve Surgery</w:t>
      </w:r>
    </w:p>
    <w:p w:rsidR="00992913" w:rsidRDefault="00992913" w:rsidP="00992913">
      <w:pPr>
        <w:spacing w:before="62"/>
        <w:ind w:left="4217" w:right="4235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16"/>
        </w:rPr>
        <w:t xml:space="preserve">Email: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</w:rPr>
          <w:t>drswagat@gmail.com</w:t>
        </w:r>
      </w:hyperlink>
    </w:p>
    <w:p w:rsidR="00992913" w:rsidRDefault="00992913" w:rsidP="00992913">
      <w:pPr>
        <w:spacing w:before="62"/>
        <w:ind w:left="4217" w:right="4235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Whatsapp</w:t>
      </w:r>
      <w:proofErr w:type="spellEnd"/>
      <w:r>
        <w:rPr>
          <w:rFonts w:ascii="Times New Roman" w:hAnsi="Times New Roman" w:cs="Times New Roman"/>
          <w:sz w:val="24"/>
        </w:rPr>
        <w:t xml:space="preserve"> Number</w:t>
      </w:r>
    </w:p>
    <w:p w:rsidR="00992913" w:rsidRDefault="00992913" w:rsidP="00992913">
      <w:pPr>
        <w:spacing w:before="62"/>
        <w:ind w:left="4217" w:right="4235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24"/>
        </w:rPr>
        <w:t>+918940482218</w:t>
      </w:r>
    </w:p>
    <w:p w:rsidR="00992913" w:rsidRDefault="00D57823" w:rsidP="00992913">
      <w:pPr>
        <w:pStyle w:val="BodyText"/>
        <w:spacing w:before="2"/>
        <w:rPr>
          <w:rFonts w:ascii="Times New Roman" w:hAnsi="Times New Roman" w:cs="Times New Roman"/>
          <w:sz w:val="20"/>
        </w:rPr>
      </w:pPr>
      <w:r w:rsidRPr="00D57823">
        <w:pict>
          <v:line id="Line 3" o:spid="_x0000_s1028" style="position:absolute;z-index:251658240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992913" w:rsidRDefault="00992913" w:rsidP="00992913">
      <w:pPr>
        <w:pStyle w:val="BodyText"/>
        <w:rPr>
          <w:rFonts w:ascii="Arial"/>
          <w:sz w:val="20"/>
        </w:rPr>
      </w:pPr>
    </w:p>
    <w:p w:rsidR="00992913" w:rsidRDefault="00992913" w:rsidP="00992913">
      <w:pPr>
        <w:pStyle w:val="BodyText"/>
        <w:rPr>
          <w:rFonts w:ascii="Arial"/>
          <w:sz w:val="20"/>
        </w:rPr>
      </w:pPr>
    </w:p>
    <w:p w:rsidR="00992913" w:rsidRDefault="00992913" w:rsidP="00992913">
      <w:pPr>
        <w:pStyle w:val="BodyText"/>
        <w:spacing w:before="7"/>
        <w:rPr>
          <w:rFonts w:ascii="Arial"/>
          <w:sz w:val="29"/>
        </w:rPr>
      </w:pPr>
    </w:p>
    <w:p w:rsidR="00992913" w:rsidRDefault="00992913" w:rsidP="00992913">
      <w:pPr>
        <w:widowControl/>
        <w:rPr>
          <w:rFonts w:ascii="Minion Pro"/>
          <w:sz w:val="24"/>
        </w:rPr>
        <w:sectPr w:rsidR="009929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992913" w:rsidRDefault="00992913" w:rsidP="00992913">
      <w:pPr>
        <w:pStyle w:val="BodyText"/>
        <w:spacing w:before="3"/>
        <w:rPr>
          <w:rFonts w:ascii="Minion Pro"/>
          <w:sz w:val="26"/>
        </w:rPr>
      </w:pPr>
    </w:p>
    <w:p w:rsidR="005836B6" w:rsidRDefault="005836B6"/>
    <w:sectPr w:rsidR="005836B6" w:rsidSect="005836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B0216"/>
    <w:multiLevelType w:val="hybridMultilevel"/>
    <w:tmpl w:val="0150A29E"/>
    <w:lvl w:ilvl="0" w:tplc="98965C4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2913"/>
    <w:rsid w:val="000070C4"/>
    <w:rsid w:val="005836B6"/>
    <w:rsid w:val="00992913"/>
    <w:rsid w:val="00D57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Line 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2913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992913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992913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92913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34"/>
    <w:qFormat/>
    <w:rsid w:val="00992913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91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swagat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681</Words>
  <Characters>3888</Characters>
  <Application>Microsoft Office Word</Application>
  <DocSecurity>0</DocSecurity>
  <Lines>32</Lines>
  <Paragraphs>9</Paragraphs>
  <ScaleCrop>false</ScaleCrop>
  <Company>HP Inc.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2022-10-10T07:47:00Z</dcterms:created>
  <dcterms:modified xsi:type="dcterms:W3CDTF">2022-10-10T09:27:00Z</dcterms:modified>
</cp:coreProperties>
</file>