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39E86" w14:textId="77777777" w:rsidR="001A1AF4" w:rsidRPr="001A1AF4" w:rsidRDefault="001A1AF4" w:rsidP="001A1AF4">
      <w:pPr>
        <w:spacing w:after="3" w:line="360" w:lineRule="auto"/>
        <w:ind w:left="-5" w:hanging="10"/>
        <w:jc w:val="center"/>
        <w:rPr>
          <w:rFonts w:ascii="Book Antiqua" w:eastAsia="Book Antiqua" w:hAnsi="Book Antiqua" w:cs="Book Antiqua"/>
          <w:sz w:val="24"/>
          <w:szCs w:val="24"/>
        </w:rPr>
      </w:pPr>
      <w:r w:rsidRPr="001A1AF4">
        <w:rPr>
          <w:rFonts w:ascii="Book Antiqua" w:eastAsia="Book Antiqua" w:hAnsi="Book Antiqua" w:cs="Book Antiqua"/>
          <w:b/>
          <w:sz w:val="24"/>
          <w:szCs w:val="24"/>
        </w:rPr>
        <w:t>Radiological and Clinical Outcomes of Transforaminal vs. Posterior Lumbar Interbody Fusions: A Systematic Review</w:t>
      </w:r>
    </w:p>
    <w:p w14:paraId="59A56826" w14:textId="77777777" w:rsidR="001A1AF4" w:rsidRPr="001A1AF4" w:rsidRDefault="001A1AF4" w:rsidP="001A1AF4">
      <w:pPr>
        <w:keepNext/>
        <w:keepLines/>
        <w:spacing w:after="115" w:line="360" w:lineRule="auto"/>
        <w:ind w:left="-5" w:hanging="10"/>
        <w:outlineLvl w:val="0"/>
        <w:rPr>
          <w:rFonts w:ascii="Book Antiqua" w:eastAsia="Book Antiqua" w:hAnsi="Book Antiqua" w:cs="Book Antiqua"/>
          <w:b/>
          <w:sz w:val="24"/>
          <w:szCs w:val="24"/>
        </w:rPr>
      </w:pPr>
    </w:p>
    <w:p w14:paraId="3999621B" w14:textId="77777777" w:rsidR="001A1AF4" w:rsidRPr="001A1AF4" w:rsidRDefault="001A1AF4" w:rsidP="001A1AF4">
      <w:pPr>
        <w:keepNext/>
        <w:keepLines/>
        <w:spacing w:after="115" w:line="360" w:lineRule="auto"/>
        <w:ind w:left="-5" w:hanging="10"/>
        <w:jc w:val="center"/>
        <w:outlineLvl w:val="0"/>
        <w:rPr>
          <w:rFonts w:ascii="Book Antiqua" w:eastAsia="Book Antiqua" w:hAnsi="Book Antiqua" w:cs="Book Antiqua"/>
          <w:bCs/>
          <w:sz w:val="24"/>
          <w:szCs w:val="24"/>
        </w:rPr>
      </w:pPr>
      <w:r w:rsidRPr="001A1AF4">
        <w:rPr>
          <w:rFonts w:ascii="Book Antiqua" w:eastAsia="Book Antiqua" w:hAnsi="Book Antiqua" w:cs="Book Antiqua"/>
          <w:bCs/>
          <w:sz w:val="24"/>
          <w:szCs w:val="24"/>
        </w:rPr>
        <w:t>MarjanGholghasemi</w:t>
      </w:r>
      <w:r w:rsidRPr="001A1AF4">
        <w:rPr>
          <w:rFonts w:ascii="Book Antiqua" w:eastAsia="Book Antiqua" w:hAnsi="Book Antiqua" w:cs="Book Antiqua"/>
          <w:bCs/>
          <w:sz w:val="24"/>
          <w:szCs w:val="24"/>
          <w:vertAlign w:val="superscript"/>
        </w:rPr>
        <w:t>1, 2</w:t>
      </w:r>
      <w:r w:rsidRPr="001A1AF4">
        <w:rPr>
          <w:rFonts w:ascii="Book Antiqua" w:eastAsia="Book Antiqua" w:hAnsi="Book Antiqua" w:cs="Book Antiqua"/>
          <w:bCs/>
          <w:sz w:val="24"/>
          <w:szCs w:val="24"/>
        </w:rPr>
        <w:t>, Pharm-D, Shahin Mirhosseyni</w:t>
      </w:r>
      <w:r w:rsidRPr="001A1AF4">
        <w:rPr>
          <w:rFonts w:ascii="Book Antiqua" w:eastAsia="Book Antiqua" w:hAnsi="Book Antiqua" w:cs="Book Antiqua"/>
          <w:bCs/>
          <w:sz w:val="24"/>
          <w:szCs w:val="24"/>
          <w:vertAlign w:val="superscript"/>
        </w:rPr>
        <w:t>1, 3,</w:t>
      </w:r>
      <w:r w:rsidRPr="001A1AF4">
        <w:rPr>
          <w:rFonts w:ascii="Book Antiqua" w:eastAsia="Book Antiqua" w:hAnsi="Book Antiqua" w:cs="Book Antiqua"/>
          <w:bCs/>
          <w:sz w:val="24"/>
          <w:szCs w:val="24"/>
        </w:rPr>
        <w:t xml:space="preserve"> Msc,</w:t>
      </w:r>
    </w:p>
    <w:p w14:paraId="4C5579A7" w14:textId="77777777" w:rsidR="001A1AF4" w:rsidRPr="001A1AF4" w:rsidRDefault="001A1AF4" w:rsidP="001A1AF4">
      <w:pPr>
        <w:keepNext/>
        <w:keepLines/>
        <w:spacing w:after="115" w:line="360" w:lineRule="auto"/>
        <w:ind w:left="10" w:hanging="10"/>
        <w:jc w:val="center"/>
        <w:outlineLvl w:val="0"/>
        <w:rPr>
          <w:rFonts w:ascii="Book Antiqua" w:eastAsia="Book Antiqua" w:hAnsi="Book Antiqua" w:cs="Book Antiqua"/>
          <w:bCs/>
          <w:sz w:val="24"/>
          <w:szCs w:val="24"/>
        </w:rPr>
      </w:pPr>
      <w:r w:rsidRPr="001A1AF4">
        <w:rPr>
          <w:rFonts w:ascii="Book Antiqua" w:eastAsia="Book Antiqua" w:hAnsi="Book Antiqua" w:cs="Book Antiqua"/>
          <w:bCs/>
          <w:sz w:val="24"/>
          <w:szCs w:val="24"/>
        </w:rPr>
        <w:t>GeorgeRymarczuk</w:t>
      </w:r>
      <w:r w:rsidRPr="001A1AF4">
        <w:rPr>
          <w:rFonts w:ascii="Book Antiqua" w:eastAsia="Book Antiqua" w:hAnsi="Book Antiqua" w:cs="4"/>
          <w:bCs/>
          <w:sz w:val="24"/>
          <w:szCs w:val="24"/>
          <w:vertAlign w:val="superscript"/>
        </w:rPr>
        <w:t>4</w:t>
      </w:r>
      <w:r w:rsidRPr="001A1AF4">
        <w:rPr>
          <w:rFonts w:ascii="Book Antiqua" w:eastAsia="Book Antiqua" w:hAnsi="Book Antiqua" w:cs="Book Antiqua"/>
          <w:bCs/>
          <w:sz w:val="24"/>
          <w:szCs w:val="24"/>
        </w:rPr>
        <w:t>, MD, PaymanVahedi</w:t>
      </w:r>
      <w:r w:rsidRPr="001A1AF4">
        <w:rPr>
          <w:rFonts w:ascii="Book Antiqua" w:eastAsia="Book Antiqua" w:hAnsi="Book Antiqua" w:cs="Book Antiqua"/>
          <w:bCs/>
          <w:sz w:val="24"/>
          <w:szCs w:val="24"/>
          <w:vertAlign w:val="superscript"/>
        </w:rPr>
        <w:t>1, @</w:t>
      </w:r>
      <w:r w:rsidRPr="001A1AF4">
        <w:rPr>
          <w:rFonts w:ascii="Book Antiqua" w:eastAsia="Book Antiqua" w:hAnsi="Book Antiqua" w:cs="Book Antiqua"/>
          <w:bCs/>
          <w:sz w:val="24"/>
          <w:szCs w:val="24"/>
        </w:rPr>
        <w:t>, MD</w:t>
      </w:r>
    </w:p>
    <w:p w14:paraId="0628DF54" w14:textId="77777777" w:rsidR="001A1AF4" w:rsidRPr="001A1AF4" w:rsidRDefault="001A1AF4" w:rsidP="001A1AF4">
      <w:pPr>
        <w:spacing w:after="124" w:line="360" w:lineRule="auto"/>
        <w:rPr>
          <w:rFonts w:ascii="Book Antiqua" w:eastAsia="Book Antiqua" w:hAnsi="Book Antiqua" w:cs="Book Antiqua"/>
          <w:sz w:val="24"/>
          <w:szCs w:val="24"/>
        </w:rPr>
      </w:pPr>
    </w:p>
    <w:p w14:paraId="690C3CF4" w14:textId="77777777" w:rsidR="001A1AF4" w:rsidRPr="001A1AF4" w:rsidRDefault="001A1AF4" w:rsidP="001A1AF4">
      <w:pPr>
        <w:spacing w:after="122"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Book Antiqua"/>
          <w:bCs/>
          <w:sz w:val="24"/>
          <w:szCs w:val="24"/>
          <w:vertAlign w:val="superscript"/>
        </w:rPr>
        <w:t>1</w:t>
      </w:r>
      <w:r w:rsidRPr="001A1AF4">
        <w:rPr>
          <w:rFonts w:ascii="Book Antiqua" w:eastAsia="Book Antiqua" w:hAnsi="Book Antiqua" w:cs="Book Antiqua"/>
          <w:sz w:val="24"/>
          <w:szCs w:val="24"/>
        </w:rPr>
        <w:t xml:space="preserve">Department of Neurosurgery, Tehran Medical Sciences Branch, Islamic Azad University, Tehran, Iran </w:t>
      </w:r>
    </w:p>
    <w:p w14:paraId="158B59A0" w14:textId="77777777" w:rsidR="001A1AF4" w:rsidRPr="001A1AF4" w:rsidRDefault="001A1AF4" w:rsidP="001A1AF4">
      <w:pPr>
        <w:spacing w:after="122"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Book Antiqua"/>
          <w:sz w:val="24"/>
          <w:szCs w:val="24"/>
          <w:vertAlign w:val="superscript"/>
        </w:rPr>
        <w:t xml:space="preserve">2 </w:t>
      </w:r>
      <w:r w:rsidRPr="001A1AF4">
        <w:rPr>
          <w:rFonts w:ascii="Book Antiqua" w:eastAsia="Book Antiqua" w:hAnsi="Book Antiqua" w:cs="Book Antiqua"/>
          <w:sz w:val="24"/>
          <w:szCs w:val="24"/>
        </w:rPr>
        <w:t>Faculty of Pharmacy, Tehran Medical Sciences, Islamic Azad University, Tehran, Iran</w:t>
      </w:r>
    </w:p>
    <w:p w14:paraId="1DFA01B4" w14:textId="77777777" w:rsidR="001A1AF4" w:rsidRPr="001A1AF4" w:rsidRDefault="001A1AF4" w:rsidP="001A1AF4">
      <w:pPr>
        <w:spacing w:after="122" w:line="360" w:lineRule="auto"/>
        <w:ind w:left="-5" w:right="55" w:hanging="10"/>
        <w:jc w:val="both"/>
        <w:rPr>
          <w:rFonts w:ascii="Book Antiqua" w:eastAsia="Book Antiqua" w:hAnsi="Book Antiqua" w:cs="Book Antiqua"/>
          <w:b/>
          <w:bCs/>
          <w:sz w:val="24"/>
          <w:szCs w:val="24"/>
        </w:rPr>
      </w:pPr>
      <w:r w:rsidRPr="001A1AF4">
        <w:rPr>
          <w:rFonts w:ascii="Book Antiqua" w:eastAsia="Book Antiqua" w:hAnsi="Book Antiqua" w:cs="Book Antiqua"/>
          <w:b/>
          <w:bCs/>
          <w:sz w:val="24"/>
          <w:szCs w:val="24"/>
          <w:vertAlign w:val="superscript"/>
        </w:rPr>
        <w:t>3</w:t>
      </w:r>
      <w:r w:rsidRPr="001A1AF4">
        <w:rPr>
          <w:rFonts w:ascii="Book Antiqua" w:eastAsia="Book Antiqua" w:hAnsi="Book Antiqua" w:cs="Book Antiqua"/>
          <w:sz w:val="24"/>
        </w:rPr>
        <w:t>Bradford university, Bradford, United Kingdom</w:t>
      </w:r>
    </w:p>
    <w:p w14:paraId="1B20212C" w14:textId="77777777" w:rsidR="001A1AF4" w:rsidRPr="001A1AF4" w:rsidRDefault="001A1AF4" w:rsidP="001A1AF4">
      <w:pPr>
        <w:spacing w:after="122"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4"/>
          <w:sz w:val="24"/>
          <w:szCs w:val="24"/>
          <w:vertAlign w:val="superscript"/>
        </w:rPr>
        <w:t>4</w:t>
      </w:r>
      <w:r w:rsidRPr="001A1AF4">
        <w:rPr>
          <w:rFonts w:ascii="Book Antiqua" w:eastAsia="Book Antiqua" w:hAnsi="Book Antiqua" w:cs="Book Antiqua"/>
          <w:sz w:val="24"/>
          <w:szCs w:val="24"/>
        </w:rPr>
        <w:t>Division of Neurosurgery, Landstuhl Regional Medical Center, Landstuhl, Germany.</w:t>
      </w:r>
    </w:p>
    <w:p w14:paraId="3AA5531A" w14:textId="77777777" w:rsidR="001A1AF4" w:rsidRPr="001A1AF4" w:rsidRDefault="001A1AF4" w:rsidP="001A1AF4">
      <w:pPr>
        <w:spacing w:after="122" w:line="360" w:lineRule="auto"/>
        <w:ind w:left="-5" w:right="55" w:hanging="10"/>
        <w:jc w:val="both"/>
        <w:rPr>
          <w:rFonts w:ascii="Book Antiqua" w:eastAsia="Book Antiqua" w:hAnsi="Book Antiqua" w:cs="Book Antiqua"/>
          <w:b/>
          <w:sz w:val="24"/>
          <w:szCs w:val="24"/>
        </w:rPr>
      </w:pPr>
      <w:r w:rsidRPr="001A1AF4">
        <w:rPr>
          <w:rFonts w:ascii="Book Antiqua" w:eastAsia="Book Antiqua" w:hAnsi="Book Antiqua" w:cs="Book Antiqua"/>
          <w:b/>
          <w:sz w:val="24"/>
          <w:szCs w:val="24"/>
        </w:rPr>
        <w:t>@ Corresponding Author: PaymanVahedi, MD</w:t>
      </w:r>
    </w:p>
    <w:p w14:paraId="7371D62C" w14:textId="77777777" w:rsidR="001A1AF4" w:rsidRPr="001A1AF4" w:rsidRDefault="001A1AF4" w:rsidP="001A1AF4">
      <w:pPr>
        <w:spacing w:after="122"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Book Antiqua"/>
          <w:sz w:val="24"/>
          <w:szCs w:val="24"/>
        </w:rPr>
        <w:t xml:space="preserve"> Department of Neurosurgery, Bou-Ali Hospital, Damavand St, Tehran, Iran</w:t>
      </w:r>
    </w:p>
    <w:p w14:paraId="71324BFE" w14:textId="77777777" w:rsidR="001A1AF4" w:rsidRPr="001A1AF4" w:rsidRDefault="001A1AF4" w:rsidP="001A1AF4">
      <w:pPr>
        <w:spacing w:after="122" w:line="360" w:lineRule="auto"/>
        <w:ind w:left="-5" w:right="55" w:hanging="10"/>
        <w:jc w:val="both"/>
        <w:rPr>
          <w:rFonts w:ascii="Book Antiqua" w:eastAsia="Book Antiqua" w:hAnsi="Book Antiqua" w:cs="Book Antiqua"/>
          <w:sz w:val="24"/>
          <w:szCs w:val="24"/>
        </w:rPr>
      </w:pPr>
      <w:hyperlink r:id="rId4" w:history="1">
        <w:r w:rsidRPr="001A1AF4">
          <w:rPr>
            <w:rFonts w:ascii="Book Antiqua" w:eastAsia="Book Antiqua" w:hAnsi="Book Antiqua" w:cs="Book Antiqua"/>
            <w:color w:val="0563C1" w:themeColor="hyperlink"/>
            <w:sz w:val="24"/>
            <w:szCs w:val="24"/>
            <w:u w:val="single"/>
          </w:rPr>
          <w:t>Payman.vahedi@gmail.com</w:t>
        </w:r>
      </w:hyperlink>
    </w:p>
    <w:p w14:paraId="319A52C6" w14:textId="77777777" w:rsidR="001A1AF4" w:rsidRPr="001A1AF4" w:rsidRDefault="001A1AF4" w:rsidP="001A1AF4">
      <w:pPr>
        <w:spacing w:after="122"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Book Antiqua"/>
          <w:sz w:val="24"/>
          <w:szCs w:val="24"/>
        </w:rPr>
        <w:t>Fax: +98-21-36604854</w:t>
      </w:r>
    </w:p>
    <w:p w14:paraId="08664761" w14:textId="77777777" w:rsidR="001A1AF4" w:rsidRPr="001A1AF4" w:rsidRDefault="001A1AF4" w:rsidP="001A1AF4">
      <w:pPr>
        <w:spacing w:after="126" w:line="360" w:lineRule="auto"/>
        <w:ind w:right="55"/>
        <w:jc w:val="both"/>
        <w:rPr>
          <w:rFonts w:ascii="Book Antiqua" w:eastAsia="Book Antiqua" w:hAnsi="Book Antiqua" w:cs="Book Antiqua"/>
          <w:b/>
          <w:sz w:val="24"/>
          <w:szCs w:val="24"/>
        </w:rPr>
      </w:pPr>
    </w:p>
    <w:p w14:paraId="56CD18B9" w14:textId="77777777" w:rsidR="001A1AF4" w:rsidRPr="001A1AF4" w:rsidRDefault="001A1AF4" w:rsidP="001A1AF4">
      <w:pPr>
        <w:spacing w:after="126" w:line="360" w:lineRule="auto"/>
        <w:ind w:right="55"/>
        <w:jc w:val="both"/>
        <w:rPr>
          <w:rFonts w:ascii="Book Antiqua" w:eastAsia="Book Antiqua" w:hAnsi="Book Antiqua" w:cs="Book Antiqua"/>
          <w:sz w:val="24"/>
          <w:szCs w:val="24"/>
        </w:rPr>
      </w:pPr>
      <w:r w:rsidRPr="001A1AF4">
        <w:rPr>
          <w:rFonts w:ascii="Book Antiqua" w:eastAsia="Book Antiqua" w:hAnsi="Book Antiqua" w:cs="Book Antiqua"/>
          <w:b/>
          <w:sz w:val="24"/>
          <w:szCs w:val="24"/>
        </w:rPr>
        <w:t xml:space="preserve">Conflict-of-interest statement: </w:t>
      </w:r>
      <w:r w:rsidRPr="001A1AF4">
        <w:rPr>
          <w:rFonts w:ascii="Book Antiqua" w:eastAsia="Book Antiqua" w:hAnsi="Book Antiqua" w:cs="Book Antiqua"/>
          <w:sz w:val="24"/>
          <w:szCs w:val="24"/>
        </w:rPr>
        <w:t xml:space="preserve">No potential conflicts of interest. No financial support. </w:t>
      </w:r>
    </w:p>
    <w:p w14:paraId="153A4BCC" w14:textId="77777777" w:rsidR="001A1AF4" w:rsidRPr="001A1AF4" w:rsidRDefault="001A1AF4" w:rsidP="001A1AF4">
      <w:pPr>
        <w:spacing w:after="3"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Book Antiqua"/>
          <w:sz w:val="24"/>
          <w:szCs w:val="24"/>
        </w:rPr>
        <w:t>Short Running Title: "TLIF Vs. PLIF: A Systematic Review"</w:t>
      </w:r>
    </w:p>
    <w:p w14:paraId="787A9BBC" w14:textId="77777777" w:rsidR="001A1AF4" w:rsidRPr="001A1AF4" w:rsidRDefault="001A1AF4" w:rsidP="001A1AF4">
      <w:pPr>
        <w:keepNext/>
        <w:keepLines/>
        <w:spacing w:after="115" w:line="360" w:lineRule="auto"/>
        <w:ind w:left="-5" w:hanging="10"/>
        <w:outlineLvl w:val="0"/>
        <w:rPr>
          <w:rFonts w:ascii="Book Antiqua" w:eastAsia="Book Antiqua" w:hAnsi="Book Antiqua" w:cs="Book Antiqua"/>
          <w:b/>
          <w:sz w:val="24"/>
          <w:szCs w:val="24"/>
        </w:rPr>
      </w:pPr>
    </w:p>
    <w:p w14:paraId="12B57835" w14:textId="77777777" w:rsidR="001A1AF4" w:rsidRPr="001A1AF4" w:rsidRDefault="001A1AF4" w:rsidP="001A1AF4">
      <w:pPr>
        <w:spacing w:after="3" w:line="358" w:lineRule="auto"/>
        <w:ind w:left="10" w:hanging="10"/>
        <w:jc w:val="both"/>
        <w:rPr>
          <w:rFonts w:ascii="Book Antiqua" w:eastAsia="Book Antiqua" w:hAnsi="Book Antiqua" w:cs="Book Antiqua"/>
          <w:color w:val="000000"/>
          <w:sz w:val="24"/>
        </w:rPr>
      </w:pPr>
    </w:p>
    <w:p w14:paraId="56D134F0" w14:textId="77777777" w:rsidR="001A1AF4" w:rsidRPr="001A1AF4" w:rsidRDefault="001A1AF4" w:rsidP="001A1AF4">
      <w:pPr>
        <w:keepNext/>
        <w:keepLines/>
        <w:spacing w:after="115" w:line="360" w:lineRule="auto"/>
        <w:ind w:left="-5" w:hanging="10"/>
        <w:outlineLvl w:val="0"/>
        <w:rPr>
          <w:rFonts w:ascii="Book Antiqua" w:eastAsia="Book Antiqua" w:hAnsi="Book Antiqua" w:cs="Book Antiqua"/>
          <w:b/>
          <w:sz w:val="24"/>
          <w:szCs w:val="24"/>
        </w:rPr>
      </w:pPr>
      <w:r w:rsidRPr="001A1AF4">
        <w:rPr>
          <w:rFonts w:ascii="Book Antiqua" w:eastAsia="Book Antiqua" w:hAnsi="Book Antiqua" w:cs="Book Antiqua"/>
          <w:b/>
          <w:sz w:val="24"/>
          <w:szCs w:val="24"/>
        </w:rPr>
        <w:t xml:space="preserve">Abstract </w:t>
      </w:r>
    </w:p>
    <w:p w14:paraId="32E8B10E" w14:textId="77777777" w:rsidR="001A1AF4" w:rsidRPr="001A1AF4" w:rsidRDefault="001A1AF4" w:rsidP="001A1AF4">
      <w:pPr>
        <w:spacing w:after="3" w:line="360" w:lineRule="auto"/>
        <w:ind w:left="10" w:hanging="10"/>
        <w:jc w:val="both"/>
        <w:rPr>
          <w:rFonts w:ascii="Book Antiqua" w:eastAsia="Book Antiqua" w:hAnsi="Book Antiqua" w:cs="Book Antiqua"/>
          <w:sz w:val="24"/>
          <w:szCs w:val="24"/>
        </w:rPr>
      </w:pPr>
      <w:r w:rsidRPr="001A1AF4">
        <w:rPr>
          <w:rFonts w:ascii="Book Antiqua" w:eastAsia="Book Antiqua" w:hAnsi="Book Antiqua" w:cs="Book Antiqua"/>
          <w:b/>
          <w:bCs/>
          <w:sz w:val="24"/>
        </w:rPr>
        <w:t>Objective</w:t>
      </w:r>
      <w:r w:rsidRPr="001A1AF4">
        <w:rPr>
          <w:rFonts w:ascii="Book Antiqua" w:eastAsia="Book Antiqua" w:hAnsi="Book Antiqua" w:cs="Book Antiqua"/>
          <w:sz w:val="24"/>
        </w:rPr>
        <w:t>. Posterior lumbar interbody fusion (PLIF) and transforaminal lumbar interbody fusion (TLIF) are</w:t>
      </w:r>
      <w:r w:rsidRPr="001A1AF4">
        <w:rPr>
          <w:rFonts w:ascii="Book Antiqua" w:eastAsia="Book Antiqua" w:hAnsi="Book Antiqua" w:cs="Book Antiqua"/>
          <w:sz w:val="24"/>
          <w:szCs w:val="24"/>
        </w:rPr>
        <w:t xml:space="preserve"> two of the most common surgeries performed for degenerative disk disease (DDD) and are associated with a high fusion rate in the literature. The superiority of one technique over the other is </w:t>
      </w:r>
      <w:r w:rsidRPr="001A1AF4">
        <w:rPr>
          <w:rFonts w:ascii="Book Antiqua" w:eastAsia="Book Antiqua" w:hAnsi="Book Antiqua" w:cs="Book Antiqua"/>
          <w:noProof/>
          <w:sz w:val="24"/>
          <w:szCs w:val="24"/>
        </w:rPr>
        <w:t>debatable</w:t>
      </w:r>
      <w:r w:rsidRPr="001A1AF4">
        <w:rPr>
          <w:rFonts w:ascii="Book Antiqua" w:eastAsia="Book Antiqua" w:hAnsi="Book Antiqua" w:cs="Book Antiqua"/>
          <w:sz w:val="24"/>
          <w:szCs w:val="24"/>
        </w:rPr>
        <w:t xml:space="preserve">. Numerous studies </w:t>
      </w:r>
      <w:r w:rsidRPr="001A1AF4">
        <w:rPr>
          <w:rFonts w:ascii="Book Antiqua" w:eastAsia="Book Antiqua" w:hAnsi="Book Antiqua" w:cs="Book Antiqua"/>
          <w:sz w:val="24"/>
          <w:szCs w:val="24"/>
        </w:rPr>
        <w:lastRenderedPageBreak/>
        <w:t xml:space="preserve">have compared the radiological and clinical </w:t>
      </w:r>
      <w:r w:rsidRPr="001A1AF4">
        <w:rPr>
          <w:rFonts w:ascii="Book Antiqua" w:eastAsia="Book Antiqua" w:hAnsi="Book Antiqua" w:cs="Book Antiqua"/>
          <w:noProof/>
          <w:sz w:val="24"/>
          <w:szCs w:val="24"/>
        </w:rPr>
        <w:t>outcome, complications,</w:t>
      </w:r>
      <w:r w:rsidRPr="001A1AF4">
        <w:rPr>
          <w:rFonts w:ascii="Book Antiqua" w:eastAsia="Book Antiqua" w:hAnsi="Book Antiqua" w:cs="Book Antiqua"/>
          <w:sz w:val="24"/>
          <w:szCs w:val="24"/>
        </w:rPr>
        <w:t xml:space="preserve"> operation time, length of stay, reoperation rate, failure rate, and estimated blood loss, and have only found inconsistent and often conflicting results.</w:t>
      </w:r>
    </w:p>
    <w:p w14:paraId="23DD4612" w14:textId="77777777" w:rsidR="001A1AF4" w:rsidRPr="001A1AF4" w:rsidRDefault="001A1AF4" w:rsidP="001A1AF4">
      <w:pPr>
        <w:spacing w:after="3" w:line="360" w:lineRule="auto"/>
        <w:jc w:val="both"/>
        <w:rPr>
          <w:rFonts w:ascii="Book Antiqua" w:eastAsia="Book Antiqua" w:hAnsi="Book Antiqua" w:cs="Book Antiqua"/>
          <w:sz w:val="24"/>
          <w:szCs w:val="24"/>
        </w:rPr>
      </w:pPr>
      <w:r w:rsidRPr="001A1AF4">
        <w:rPr>
          <w:rFonts w:ascii="Book Antiqua" w:eastAsia="Book Antiqua" w:hAnsi="Book Antiqua" w:cs="Book Antiqua"/>
          <w:b/>
          <w:bCs/>
          <w:sz w:val="24"/>
          <w:szCs w:val="24"/>
        </w:rPr>
        <w:t>Methods</w:t>
      </w:r>
      <w:r w:rsidRPr="001A1AF4">
        <w:rPr>
          <w:rFonts w:ascii="Book Antiqua" w:eastAsia="Book Antiqua" w:hAnsi="Book Antiqua" w:cs="Book Antiqua"/>
          <w:sz w:val="24"/>
          <w:szCs w:val="24"/>
        </w:rPr>
        <w:t>. A systematic review of the English-language literature was performed which encompassed the period from January 2000 to August 2021.</w:t>
      </w:r>
    </w:p>
    <w:p w14:paraId="7AD5EE29" w14:textId="77777777" w:rsidR="001A1AF4" w:rsidRPr="001A1AF4" w:rsidRDefault="001A1AF4" w:rsidP="001A1AF4">
      <w:pPr>
        <w:spacing w:after="3" w:line="360" w:lineRule="auto"/>
        <w:jc w:val="both"/>
        <w:rPr>
          <w:rFonts w:ascii="Book Antiqua" w:eastAsia="Book Antiqua" w:hAnsi="Book Antiqua" w:cs="Book Antiqua"/>
          <w:sz w:val="24"/>
          <w:szCs w:val="24"/>
        </w:rPr>
      </w:pPr>
      <w:r w:rsidRPr="001A1AF4">
        <w:rPr>
          <w:rFonts w:ascii="Book Antiqua" w:eastAsia="Book Antiqua" w:hAnsi="Book Antiqua" w:cs="Book Antiqua"/>
          <w:b/>
          <w:bCs/>
          <w:sz w:val="24"/>
          <w:szCs w:val="24"/>
        </w:rPr>
        <w:t>Results</w:t>
      </w:r>
      <w:r w:rsidRPr="001A1AF4">
        <w:rPr>
          <w:rFonts w:ascii="Book Antiqua" w:eastAsia="Book Antiqua" w:hAnsi="Book Antiqua" w:cs="Book Antiqua"/>
          <w:sz w:val="24"/>
          <w:szCs w:val="24"/>
        </w:rPr>
        <w:t xml:space="preserve">. 794 PLIF and 710 TLIF patients from fourteen eligible studies were recruited. The mean age was </w:t>
      </w:r>
      <w:r w:rsidRPr="001A1AF4">
        <w:rPr>
          <w:rFonts w:ascii="Book Antiqua" w:hAnsi="Book Antiqua" w:cs="Arial"/>
          <w:sz w:val="24"/>
          <w:szCs w:val="24"/>
        </w:rPr>
        <w:t xml:space="preserve">52 years for both groups. The complications associated with neurological deficits were considerably higher in the </w:t>
      </w:r>
      <w:r w:rsidRPr="001A1AF4">
        <w:rPr>
          <w:rFonts w:ascii="Book Antiqua" w:hAnsi="Book Antiqua" w:cs="Arial"/>
          <w:noProof/>
          <w:sz w:val="24"/>
          <w:szCs w:val="24"/>
        </w:rPr>
        <w:t>PLIF</w:t>
      </w:r>
      <w:r w:rsidRPr="001A1AF4">
        <w:rPr>
          <w:rFonts w:ascii="Book Antiqua" w:hAnsi="Book Antiqua" w:cs="Arial"/>
          <w:sz w:val="24"/>
          <w:szCs w:val="24"/>
        </w:rPr>
        <w:t xml:space="preserve"> group (</w:t>
      </w:r>
      <w:r w:rsidRPr="001A1AF4">
        <w:rPr>
          <w:rFonts w:ascii="Book Antiqua" w:eastAsia="Book Antiqua" w:hAnsi="Book Antiqua" w:cs="Book Antiqua"/>
          <w:sz w:val="24"/>
        </w:rPr>
        <w:t>24%vs.10%)</w:t>
      </w:r>
      <w:r w:rsidRPr="001A1AF4">
        <w:rPr>
          <w:rFonts w:ascii="Book Antiqua" w:hAnsi="Book Antiqua" w:cs="Arial"/>
          <w:sz w:val="24"/>
          <w:szCs w:val="24"/>
        </w:rPr>
        <w:t>. The mean operation time and estimated blood loss for PLIF and TLIF were 178.5</w:t>
      </w:r>
      <w:r w:rsidRPr="001A1AF4">
        <w:rPr>
          <w:rFonts w:ascii="Book Antiqua" w:hAnsi="Book Antiqua" w:cs="Arial"/>
          <w:noProof/>
          <w:sz w:val="24"/>
          <w:szCs w:val="24"/>
        </w:rPr>
        <w:t xml:space="preserve"> min and</w:t>
      </w:r>
      <w:r w:rsidRPr="001A1AF4">
        <w:rPr>
          <w:rFonts w:ascii="Book Antiqua" w:hAnsi="Book Antiqua" w:cs="Arial"/>
          <w:sz w:val="24"/>
          <w:szCs w:val="24"/>
        </w:rPr>
        <w:t xml:space="preserve">515 ml; and 160 min and405 ml, respectively. No significant difference was found between TLIF and PLIF regarding the fusion rate. </w:t>
      </w:r>
      <w:r w:rsidRPr="001A1AF4">
        <w:rPr>
          <w:rFonts w:ascii="Book Antiqua" w:eastAsia="Book Antiqua" w:hAnsi="Book Antiqua" w:cs="Book Antiqua"/>
          <w:sz w:val="24"/>
          <w:szCs w:val="24"/>
        </w:rPr>
        <w:t>The reoperation rate was greater in PLIF (2%) than TLIF (0%). No clear difference was found in terms of the length of stay (LOS) and surgical site infection (SSI).</w:t>
      </w:r>
    </w:p>
    <w:p w14:paraId="7C1EA1FD" w14:textId="77777777" w:rsidR="001A1AF4" w:rsidRPr="001A1AF4" w:rsidRDefault="001A1AF4" w:rsidP="001A1AF4">
      <w:pPr>
        <w:spacing w:after="3" w:line="360" w:lineRule="auto"/>
        <w:ind w:left="10" w:hanging="10"/>
        <w:jc w:val="both"/>
        <w:rPr>
          <w:rFonts w:ascii="Book Antiqua" w:eastAsia="Book Antiqua" w:hAnsi="Book Antiqua" w:cs="Book Antiqua"/>
          <w:sz w:val="24"/>
          <w:szCs w:val="24"/>
        </w:rPr>
      </w:pPr>
      <w:r w:rsidRPr="001A1AF4">
        <w:rPr>
          <w:rFonts w:ascii="Book Antiqua" w:hAnsi="Book Antiqua" w:cs="Arial"/>
          <w:b/>
          <w:bCs/>
          <w:sz w:val="24"/>
          <w:szCs w:val="24"/>
        </w:rPr>
        <w:t>Conclusion</w:t>
      </w:r>
      <w:r w:rsidRPr="001A1AF4">
        <w:rPr>
          <w:rFonts w:ascii="Book Antiqua" w:hAnsi="Book Antiqua" w:cs="Arial"/>
          <w:sz w:val="24"/>
          <w:szCs w:val="24"/>
        </w:rPr>
        <w:t xml:space="preserve">. The superiority of TLIF over PLIF may be evidenced by the lower rate of neurologic deficit postoperatively, as well as the technical aspect of leaving intact the contralateral posterior elements for fusion site but also to facilitate </w:t>
      </w:r>
      <w:r w:rsidRPr="001A1AF4">
        <w:rPr>
          <w:rFonts w:ascii="Book Antiqua" w:hAnsi="Book Antiqua" w:cs="Arial"/>
          <w:noProof/>
          <w:sz w:val="24"/>
          <w:szCs w:val="24"/>
        </w:rPr>
        <w:t>revision</w:t>
      </w:r>
      <w:r w:rsidRPr="001A1AF4">
        <w:rPr>
          <w:rFonts w:ascii="Book Antiqua" w:hAnsi="Book Antiqua" w:cs="Arial"/>
          <w:sz w:val="24"/>
          <w:szCs w:val="24"/>
        </w:rPr>
        <w:t xml:space="preserve"> surgery, as well as less blood loss and shorter operation time. Cage migration, screw displacement, infection,</w:t>
      </w:r>
      <w:r w:rsidRPr="001A1AF4">
        <w:rPr>
          <w:rFonts w:ascii="Book Antiqua" w:hAnsi="Book Antiqua" w:cs="Arial"/>
          <w:noProof/>
          <w:sz w:val="24"/>
          <w:szCs w:val="24"/>
        </w:rPr>
        <w:t xml:space="preserve"> and pseudoarthrosis</w:t>
      </w:r>
      <w:r w:rsidRPr="001A1AF4">
        <w:rPr>
          <w:rFonts w:ascii="Book Antiqua" w:hAnsi="Book Antiqua" w:cs="Arial"/>
          <w:sz w:val="24"/>
          <w:szCs w:val="24"/>
        </w:rPr>
        <w:t xml:space="preserve"> may be influenced by a variety of factors, including the facility, the surgeon, and the </w:t>
      </w:r>
      <w:r w:rsidRPr="001A1AF4">
        <w:rPr>
          <w:rFonts w:ascii="Book Antiqua" w:hAnsi="Book Antiqua" w:cs="Arial"/>
          <w:noProof/>
          <w:sz w:val="24"/>
          <w:szCs w:val="24"/>
        </w:rPr>
        <w:t>instrumentation/ graft used, and do not appear to be different</w:t>
      </w:r>
      <w:r w:rsidRPr="001A1AF4">
        <w:rPr>
          <w:rFonts w:ascii="Book Antiqua" w:hAnsi="Book Antiqua" w:cs="Arial"/>
          <w:sz w:val="24"/>
          <w:szCs w:val="24"/>
        </w:rPr>
        <w:t xml:space="preserve">.  Multicenter non-randomized prospective trials are </w:t>
      </w:r>
      <w:r w:rsidRPr="001A1AF4">
        <w:rPr>
          <w:rFonts w:ascii="Book Antiqua" w:hAnsi="Book Antiqua" w:cs="Arial"/>
          <w:noProof/>
          <w:sz w:val="24"/>
          <w:szCs w:val="24"/>
        </w:rPr>
        <w:t>recommended</w:t>
      </w:r>
      <w:r w:rsidRPr="001A1AF4">
        <w:rPr>
          <w:rFonts w:ascii="Book Antiqua" w:hAnsi="Book Antiqua" w:cs="Arial"/>
          <w:sz w:val="24"/>
          <w:szCs w:val="24"/>
        </w:rPr>
        <w:t xml:space="preserve"> to determine the possible superiority of one method over the other. </w:t>
      </w:r>
    </w:p>
    <w:p w14:paraId="3E3953EE" w14:textId="77777777" w:rsidR="001A1AF4" w:rsidRPr="001A1AF4" w:rsidRDefault="001A1AF4" w:rsidP="001A1AF4">
      <w:pPr>
        <w:spacing w:after="3" w:line="360" w:lineRule="auto"/>
        <w:ind w:left="-5" w:right="55" w:hanging="10"/>
        <w:jc w:val="both"/>
        <w:rPr>
          <w:rFonts w:ascii="Book Antiqua" w:eastAsia="Book Antiqua" w:hAnsi="Book Antiqua" w:cs="Book Antiqua"/>
          <w:b/>
          <w:sz w:val="24"/>
          <w:szCs w:val="24"/>
        </w:rPr>
      </w:pPr>
    </w:p>
    <w:p w14:paraId="3855B664" w14:textId="77777777" w:rsidR="001A1AF4" w:rsidRPr="001A1AF4" w:rsidRDefault="001A1AF4" w:rsidP="001A1AF4">
      <w:pPr>
        <w:spacing w:after="3" w:line="360" w:lineRule="auto"/>
        <w:ind w:left="-5" w:right="55" w:hanging="10"/>
        <w:jc w:val="both"/>
        <w:rPr>
          <w:rFonts w:ascii="Book Antiqua" w:eastAsia="Book Antiqua" w:hAnsi="Book Antiqua" w:cs="Book Antiqua"/>
          <w:sz w:val="24"/>
          <w:szCs w:val="24"/>
        </w:rPr>
      </w:pPr>
      <w:r w:rsidRPr="001A1AF4">
        <w:rPr>
          <w:rFonts w:ascii="Book Antiqua" w:eastAsia="Book Antiqua" w:hAnsi="Book Antiqua" w:cs="Book Antiqua"/>
          <w:b/>
          <w:sz w:val="24"/>
          <w:szCs w:val="24"/>
        </w:rPr>
        <w:t xml:space="preserve">Keywords: </w:t>
      </w:r>
      <w:r w:rsidRPr="001A1AF4">
        <w:rPr>
          <w:rFonts w:ascii="Book Antiqua" w:eastAsia="Book Antiqua" w:hAnsi="Book Antiqua" w:cs="Book Antiqua"/>
          <w:sz w:val="24"/>
          <w:szCs w:val="24"/>
        </w:rPr>
        <w:t>Transforaminal Lumbar interbody fusion; Posterior lumbar interbody fusion; Complications; Fusion rate; Outcome</w:t>
      </w:r>
    </w:p>
    <w:p w14:paraId="25F09905" w14:textId="77777777" w:rsidR="0077574E" w:rsidRDefault="0077574E"/>
    <w:sectPr w:rsidR="007757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4">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F4"/>
    <w:rsid w:val="001A1AF4"/>
    <w:rsid w:val="00210722"/>
    <w:rsid w:val="0077574E"/>
    <w:rsid w:val="00F461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5B90"/>
  <w15:chartTrackingRefBased/>
  <w15:docId w15:val="{00B98F02-28E5-42CC-906C-8F9187F25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yman.vahed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Marjan Gholghasmi</dc:creator>
  <cp:keywords/>
  <dc:description/>
  <cp:lastModifiedBy>Dr. Marjan Gholghasmi</cp:lastModifiedBy>
  <cp:revision>1</cp:revision>
  <dcterms:created xsi:type="dcterms:W3CDTF">2022-05-09T08:47:00Z</dcterms:created>
  <dcterms:modified xsi:type="dcterms:W3CDTF">2022-05-09T08:48:00Z</dcterms:modified>
</cp:coreProperties>
</file>