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560B6" w14:textId="5DC26C20" w:rsidR="00E20583" w:rsidRDefault="00E20583" w:rsidP="00E20583">
      <w:pPr>
        <w:pStyle w:val="NormalWeb"/>
        <w:rPr>
          <w:rFonts w:ascii="ArialUnicodeMS" w:eastAsia="ArialUnicodeMS" w:hAnsi="ArialUnicodeMS" w:cs="ArialUnicodeMS"/>
          <w:sz w:val="20"/>
          <w:szCs w:val="20"/>
        </w:rPr>
      </w:pPr>
      <w:r>
        <w:rPr>
          <w:rFonts w:ascii="ArialUnicodeMS" w:eastAsia="ArialUnicodeMS" w:hAnsi="ArialUnicodeMS" w:cs="ArialUnicodeMS" w:hint="eastAsia"/>
          <w:sz w:val="20"/>
          <w:szCs w:val="20"/>
        </w:rPr>
        <w:t>PERCUTANEOUS CHOLECYSTOSTOMY FOR ACUTE CALCULOUS CHOLECYSTITIS AN OBSERVATIONAL STUDY FROM A SINGLE INSTITUTE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K</w:t>
      </w:r>
      <w:r>
        <w:rPr>
          <w:rFonts w:ascii="ArialUnicodeMS" w:eastAsia="ArialUnicodeMS" w:hAnsi="ArialUnicodeMS" w:cs="ArialUnicodeMS"/>
          <w:sz w:val="20"/>
          <w:szCs w:val="20"/>
        </w:rPr>
        <w:t>irolos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  <w:proofErr w:type="spellStart"/>
      <w:r>
        <w:rPr>
          <w:rFonts w:ascii="ArialMT" w:hAnsi="ArialMT"/>
          <w:sz w:val="20"/>
          <w:szCs w:val="20"/>
        </w:rPr>
        <w:t>Abdelsaid</w:t>
      </w:r>
      <w:proofErr w:type="spellEnd"/>
      <w:r>
        <w:rPr>
          <w:rFonts w:ascii="ArialUnicodeMS" w:eastAsia="ArialUnicodeMS" w:hAnsi="ArialUnicodeMS" w:cs="ArialUnicodeMS" w:hint="eastAsia"/>
          <w:position w:val="6"/>
          <w:sz w:val="14"/>
          <w:szCs w:val="14"/>
        </w:rPr>
        <w:t>* 1</w:t>
      </w:r>
      <w:r>
        <w:rPr>
          <w:rFonts w:ascii="ArialUnicodeMS" w:eastAsia="ArialUnicodeMS" w:hAnsi="ArialUnicodeMS" w:cs="ArialUnicodeMS" w:hint="eastAsia"/>
          <w:sz w:val="20"/>
          <w:szCs w:val="20"/>
        </w:rPr>
        <w:t>, B</w:t>
      </w:r>
      <w:r>
        <w:rPr>
          <w:rFonts w:ascii="ArialUnicodeMS" w:eastAsia="ArialUnicodeMS" w:hAnsi="ArialUnicodeMS" w:cs="ArialUnicodeMS"/>
          <w:sz w:val="20"/>
          <w:szCs w:val="20"/>
        </w:rPr>
        <w:t>alaji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. </w:t>
      </w:r>
      <w:proofErr w:type="spellStart"/>
      <w:r>
        <w:rPr>
          <w:rFonts w:ascii="ArialMT" w:hAnsi="ArialMT"/>
          <w:sz w:val="20"/>
          <w:szCs w:val="20"/>
        </w:rPr>
        <w:t>Jayasankar</w:t>
      </w:r>
      <w:proofErr w:type="spellEnd"/>
      <w:r>
        <w:rPr>
          <w:rFonts w:ascii="ArialUnicodeMS" w:eastAsia="ArialUnicodeMS" w:hAnsi="ArialUnicodeMS" w:cs="ArialUnicodeMS" w:hint="eastAsia"/>
          <w:position w:val="6"/>
          <w:sz w:val="14"/>
          <w:szCs w:val="14"/>
        </w:rPr>
        <w:t>1</w:t>
      </w:r>
      <w:r>
        <w:rPr>
          <w:rFonts w:ascii="ArialUnicodeMS" w:eastAsia="ArialUnicodeMS" w:hAnsi="ArialUnicodeMS" w:cs="ArialUnicodeMS" w:hint="eastAsia"/>
          <w:sz w:val="20"/>
          <w:szCs w:val="20"/>
        </w:rPr>
        <w:t>,</w:t>
      </w:r>
      <w:r w:rsidRPr="00E20583"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sz w:val="20"/>
          <w:szCs w:val="20"/>
        </w:rPr>
        <w:t>M</w:t>
      </w:r>
      <w:r>
        <w:rPr>
          <w:rFonts w:ascii="ArialUnicodeMS" w:eastAsia="ArialUnicodeMS" w:hAnsi="ArialUnicodeMS" w:cs="ArialUnicodeMS"/>
          <w:sz w:val="20"/>
          <w:szCs w:val="20"/>
        </w:rPr>
        <w:t>ilad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  <w:proofErr w:type="spellStart"/>
      <w:r>
        <w:rPr>
          <w:rFonts w:ascii="ArialMT" w:hAnsi="ArialMT"/>
          <w:sz w:val="20"/>
          <w:szCs w:val="20"/>
        </w:rPr>
        <w:t>jeilani</w:t>
      </w:r>
      <w:proofErr w:type="spellEnd"/>
      <w:r>
        <w:rPr>
          <w:rFonts w:ascii="ArialUnicodeMS" w:eastAsia="ArialUnicodeMS" w:hAnsi="ArialUnicodeMS" w:cs="ArialUnicodeMS" w:hint="eastAsia"/>
          <w:position w:val="6"/>
          <w:sz w:val="14"/>
          <w:szCs w:val="14"/>
        </w:rPr>
        <w:t>1</w:t>
      </w:r>
      <w:r>
        <w:rPr>
          <w:rFonts w:ascii="ArialUnicodeMS" w:eastAsia="ArialUnicodeMS" w:hAnsi="ArialUnicodeMS" w:cs="ArialUnicodeMS"/>
          <w:position w:val="6"/>
          <w:sz w:val="14"/>
          <w:szCs w:val="14"/>
        </w:rPr>
        <w:t>,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H</w:t>
      </w:r>
      <w:r>
        <w:rPr>
          <w:rFonts w:ascii="ArialUnicodeMS" w:eastAsia="ArialUnicodeMS" w:hAnsi="ArialUnicodeMS" w:cs="ArialUnicodeMS"/>
          <w:sz w:val="20"/>
          <w:szCs w:val="20"/>
        </w:rPr>
        <w:t>aythem</w:t>
      </w:r>
      <w:proofErr w:type="spellEnd"/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proofErr w:type="spellStart"/>
      <w:r>
        <w:rPr>
          <w:rFonts w:ascii="ArialMT" w:hAnsi="ArialMT"/>
          <w:sz w:val="20"/>
          <w:szCs w:val="20"/>
        </w:rPr>
        <w:t>ali</w:t>
      </w:r>
      <w:proofErr w:type="spellEnd"/>
      <w:r>
        <w:rPr>
          <w:rFonts w:ascii="ArialUnicodeMS" w:eastAsia="ArialUnicodeMS" w:hAnsi="ArialUnicodeMS" w:cs="ArialUnicodeMS"/>
          <w:position w:val="6"/>
          <w:sz w:val="14"/>
          <w:szCs w:val="14"/>
        </w:rPr>
        <w:t>1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, </w:t>
      </w:r>
      <w:r>
        <w:rPr>
          <w:rFonts w:ascii="ArialUnicodeMS" w:eastAsia="ArialUnicodeMS" w:hAnsi="ArialUnicodeMS" w:cs="ArialUnicodeMS" w:hint="eastAsia"/>
          <w:position w:val="6"/>
          <w:sz w:val="14"/>
          <w:szCs w:val="14"/>
        </w:rPr>
        <w:br/>
        <w:t>1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general surgery, Maidstone and </w:t>
      </w:r>
      <w:r>
        <w:rPr>
          <w:rFonts w:ascii="ArialUnicodeMS" w:eastAsia="ArialUnicodeMS" w:hAnsi="ArialUnicodeMS" w:cs="ArialUnicodeMS"/>
          <w:sz w:val="20"/>
          <w:szCs w:val="20"/>
        </w:rPr>
        <w:t>Tunbridge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well NHS trust, Maidstone,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Kent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, United Kingdom 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r w:rsidRPr="00E20583">
        <w:rPr>
          <w:rFonts w:ascii="ArialUnicodeMS" w:eastAsia="ArialUnicodeMS" w:hAnsi="ArialUnicodeMS" w:cs="ArialUnicodeMS" w:hint="eastAsia"/>
          <w:b/>
          <w:bCs/>
          <w:sz w:val="20"/>
          <w:szCs w:val="20"/>
        </w:rPr>
        <w:t>Introduction: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</w:p>
    <w:p w14:paraId="67DE7FD8" w14:textId="77777777" w:rsidR="00E20583" w:rsidRDefault="00E20583" w:rsidP="00E20583">
      <w:pPr>
        <w:pStyle w:val="NormalWeb"/>
        <w:rPr>
          <w:rFonts w:ascii="ArialUnicodeMS" w:eastAsia="ArialUnicodeMS" w:hAnsi="ArialUnicodeMS" w:cs="ArialUnicodeMS"/>
          <w:color w:val="1E1E1E"/>
          <w:sz w:val="20"/>
          <w:szCs w:val="20"/>
        </w:rPr>
      </w:pP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Although percutaneous cholecystostomy (PC) is generally accepted as a bridge to definitive therapy for acute cholecystitis (AC), which remains cholecystectomy, some patients did not undergo cholecystectomy </w:t>
      </w:r>
      <w:r>
        <w:rPr>
          <w:rFonts w:ascii="ArialUnicodeMS" w:eastAsia="ArialUnicodeMS" w:hAnsi="ArialUnicodeMS" w:cs="ArialUnicodeMS"/>
          <w:sz w:val="20"/>
          <w:szCs w:val="20"/>
        </w:rPr>
        <w:t>mainly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due to contraindications to surgery. Here, we aimed to audit our clinical practice from a single institute.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r w:rsidRPr="00E20583">
        <w:rPr>
          <w:rFonts w:ascii="ArialUnicodeMS" w:eastAsia="ArialUnicodeMS" w:hAnsi="ArialUnicodeMS" w:cs="ArialUnicodeMS" w:hint="eastAsia"/>
          <w:b/>
          <w:bCs/>
          <w:sz w:val="20"/>
          <w:szCs w:val="20"/>
        </w:rPr>
        <w:t>Materials &amp; Methods: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</w:p>
    <w:p w14:paraId="47BD0428" w14:textId="1FB0D404" w:rsidR="00E20583" w:rsidRDefault="00E20583" w:rsidP="00E20583">
      <w:pPr>
        <w:pStyle w:val="NormalWeb"/>
        <w:rPr>
          <w:rFonts w:ascii="ArialUnicodeMS" w:eastAsia="ArialUnicodeMS" w:hAnsi="ArialUnicodeMS" w:cs="ArialUnicodeMS"/>
          <w:color w:val="1E1E1E"/>
          <w:sz w:val="20"/>
          <w:szCs w:val="20"/>
        </w:rPr>
      </w:pPr>
      <w:r>
        <w:rPr>
          <w:rFonts w:ascii="ArialUnicodeMS" w:eastAsia="ArialUnicodeMS" w:hAnsi="ArialUnicodeMS" w:cs="ArialUnicodeMS"/>
          <w:color w:val="1E1E1E"/>
          <w:sz w:val="20"/>
          <w:szCs w:val="20"/>
        </w:rPr>
        <w:t>One hundred fifty-three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patients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 xml:space="preserve">who 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presented with AC and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 xml:space="preserve">were 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>initially managed with PC were included. The proportion of patients who did not undergo subsequent LC and their characteristics were analysed.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br/>
      </w:r>
      <w:r w:rsidRPr="00E20583">
        <w:rPr>
          <w:rFonts w:ascii="ArialUnicodeMS" w:eastAsia="ArialUnicodeMS" w:hAnsi="ArialUnicodeMS" w:cs="ArialUnicodeMS" w:hint="eastAsia"/>
          <w:b/>
          <w:bCs/>
          <w:sz w:val="20"/>
          <w:szCs w:val="20"/>
        </w:rPr>
        <w:t>Results: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</w:p>
    <w:p w14:paraId="1AF4CC71" w14:textId="77777777" w:rsidR="00E20583" w:rsidRDefault="00E20583" w:rsidP="00E20583">
      <w:pPr>
        <w:pStyle w:val="NormalWeb"/>
        <w:rPr>
          <w:rFonts w:ascii="ArialUnicodeMS" w:eastAsia="ArialUnicodeMS" w:hAnsi="ArialUnicodeMS" w:cs="ArialUnicodeMS"/>
          <w:sz w:val="20"/>
          <w:szCs w:val="20"/>
        </w:rPr>
      </w:pP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>27% (41/153) of the study cohort underwent LC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,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while the remaining patients (n=112) did not receive any surgical intervention.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>22/122(20%) were presented with AC and coexisting hepatobiliary malignancy. The mean age of the remaining patients (n=90) was 75±13 years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,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and the median length of drain insertion of those patients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 xml:space="preserve">was 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>40 days.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br/>
        <w:t xml:space="preserve">The majority (57%) was presented with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severe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AC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,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while 8% had AC with adjacent liver abscess. 55% of those patients did not develop any further attacks of AC after PC removal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,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while 25%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 xml:space="preserve">were 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>deemed unfit for surgery. The rest of the patients (20%) either refused the operation or died before LC. The American Society of Anaesthesiologists (ASA) score was 3 IV in 9% of patients (8/90).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br/>
        <w:t>15% (13/90) experienced post PC complications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, including a blocked stent, pain,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and cellulitis around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 xml:space="preserve">the 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tube. The 60- day mortality rate of patients who did not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undergo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LC was 11% (10/90).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br/>
      </w:r>
      <w:r w:rsidRPr="00E20583">
        <w:rPr>
          <w:rFonts w:ascii="ArialUnicodeMS" w:eastAsia="ArialUnicodeMS" w:hAnsi="ArialUnicodeMS" w:cs="ArialUnicodeMS" w:hint="eastAsia"/>
          <w:b/>
          <w:bCs/>
          <w:sz w:val="20"/>
          <w:szCs w:val="20"/>
        </w:rPr>
        <w:t>Conclusion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: </w:t>
      </w:r>
    </w:p>
    <w:p w14:paraId="4E8FF40D" w14:textId="77777777" w:rsidR="00E20583" w:rsidRDefault="00E20583" w:rsidP="00E20583">
      <w:pPr>
        <w:pStyle w:val="NormalWeb"/>
        <w:rPr>
          <w:rFonts w:ascii="ArialUnicodeMS" w:eastAsia="ArialUnicodeMS" w:hAnsi="ArialUnicodeMS" w:cs="ArialUnicodeMS"/>
          <w:sz w:val="20"/>
          <w:szCs w:val="20"/>
        </w:rPr>
      </w:pPr>
      <w:r>
        <w:rPr>
          <w:rFonts w:ascii="ArialUnicodeMS" w:eastAsia="ArialUnicodeMS" w:hAnsi="ArialUnicodeMS" w:cs="ArialUnicodeMS"/>
          <w:sz w:val="20"/>
          <w:szCs w:val="20"/>
        </w:rPr>
        <w:t>Most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AC patients treated initially with PC did not undergo subsequent LC. PC in high surgical risk patients with AC could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be considered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/>
          <w:color w:val="1E1E1E"/>
          <w:sz w:val="20"/>
          <w:szCs w:val="20"/>
        </w:rPr>
        <w:t>a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t xml:space="preserve"> definitive treatment.</w:t>
      </w:r>
      <w:r>
        <w:rPr>
          <w:rFonts w:ascii="ArialUnicodeMS" w:eastAsia="ArialUnicodeMS" w:hAnsi="ArialUnicodeMS" w:cs="ArialUnicodeMS" w:hint="eastAsia"/>
          <w:color w:val="1E1E1E"/>
          <w:sz w:val="20"/>
          <w:szCs w:val="20"/>
        </w:rPr>
        <w:br/>
      </w:r>
      <w:r w:rsidRPr="00E20583">
        <w:rPr>
          <w:rFonts w:ascii="ArialUnicodeMS" w:eastAsia="ArialUnicodeMS" w:hAnsi="ArialUnicodeMS" w:cs="ArialUnicodeMS" w:hint="eastAsia"/>
          <w:b/>
          <w:bCs/>
          <w:sz w:val="20"/>
          <w:szCs w:val="20"/>
        </w:rPr>
        <w:t>References: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</w:t>
      </w:r>
    </w:p>
    <w:p w14:paraId="26D94EE7" w14:textId="11E11208" w:rsidR="00E20583" w:rsidRPr="00E20583" w:rsidRDefault="00E20583" w:rsidP="00E20583">
      <w:pPr>
        <w:pStyle w:val="NormalWeb"/>
        <w:rPr>
          <w:rFonts w:ascii="ArialUnicodeMS" w:eastAsia="ArialUnicodeMS" w:hAnsi="ArialUnicodeMS" w:cs="ArialUnicodeMS"/>
          <w:sz w:val="20"/>
          <w:szCs w:val="20"/>
        </w:rPr>
      </w:pP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1-Han IW, Jang JY, Kang MJ, Lee KB, Lee SE, Kim SW. Early versus delayed laparoscopic cholecystectomy after percutaneous transhepatic gallbladder drainage. J Hepatobiliary </w:t>
      </w:r>
      <w:r>
        <w:rPr>
          <w:rFonts w:ascii="ArialUnicodeMS" w:eastAsia="ArialUnicodeMS" w:hAnsi="ArialUnicodeMS" w:cs="ArialUnicodeMS"/>
          <w:sz w:val="20"/>
          <w:szCs w:val="20"/>
        </w:rPr>
        <w:t>Pancreatic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Sci. </w:t>
      </w:r>
      <w:r>
        <w:rPr>
          <w:rFonts w:ascii="ArialUnicodeMS" w:eastAsia="ArialUnicodeMS" w:hAnsi="ArialUnicodeMS" w:cs="ArialUnicodeMS"/>
          <w:sz w:val="20"/>
          <w:szCs w:val="20"/>
        </w:rPr>
        <w:t>2012; 19:187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–93.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  <w:t xml:space="preserve">2- Choi JW, Park SH, Choi SY, Kim HS, Kim TH. Comparison of 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the 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clinical 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results between early laparoscopic cholecystectomy and delayed laparoscopic cholecystectomy after percutaneous transhepatic gallbladder drainage for 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complicated acute cholecystitis. Korean J Hepatobiliary </w:t>
      </w:r>
      <w:r>
        <w:rPr>
          <w:rFonts w:ascii="ArialUnicodeMS" w:eastAsia="ArialUnicodeMS" w:hAnsi="ArialUnicodeMS" w:cs="ArialUnicodeMS"/>
          <w:sz w:val="20"/>
          <w:szCs w:val="20"/>
        </w:rPr>
        <w:t>Pancreatic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Surg. </w:t>
      </w:r>
      <w:r>
        <w:rPr>
          <w:rFonts w:ascii="ArialUnicodeMS" w:eastAsia="ArialUnicodeMS" w:hAnsi="ArialUnicodeMS" w:cs="ArialUnicodeMS"/>
          <w:sz w:val="20"/>
          <w:szCs w:val="20"/>
        </w:rPr>
        <w:t>2012; 16:147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–53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  <w:t xml:space="preserve">3- Tanaka M,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Komatsubara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H, Noguchi D, Ichikawa K,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Kouno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M,</w:t>
      </w:r>
      <w:r>
        <w:rPr>
          <w:rFonts w:ascii="ArialUnicodeMS" w:eastAsia="ArialUnicodeMS" w:hAnsi="ArialUnicodeMS" w:cs="ArialUnicodeMS"/>
          <w:sz w:val="20"/>
          <w:szCs w:val="20"/>
        </w:rPr>
        <w:t xml:space="preserve"> 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Kondo A, et al. Laparoscopic </w:t>
      </w:r>
      <w:r>
        <w:rPr>
          <w:rFonts w:ascii="ArialUnicodeMS" w:eastAsia="ArialUnicodeMS" w:hAnsi="ArialUnicodeMS" w:cs="ArialUnicodeMS" w:hint="eastAsia"/>
          <w:sz w:val="20"/>
          <w:szCs w:val="20"/>
        </w:rPr>
        <w:lastRenderedPageBreak/>
        <w:t xml:space="preserve">cholecystectomy after percutaneous transhepatic gallbladder drainage for acute cholecystitis. JJBA. </w:t>
      </w:r>
      <w:r>
        <w:rPr>
          <w:rFonts w:ascii="ArialUnicodeMS" w:eastAsia="ArialUnicodeMS" w:hAnsi="ArialUnicodeMS" w:cs="ArialUnicodeMS"/>
          <w:sz w:val="20"/>
          <w:szCs w:val="20"/>
        </w:rPr>
        <w:t>2016; 30:667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–72 (in Japanese with English abstract).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  <w:t xml:space="preserve">4- Jung WH, Park DE. Timing of cholecystectomy after percutaneous cholecystostomy for acute cholecystitis. Korean J Gastroenterol. </w:t>
      </w:r>
      <w:r>
        <w:rPr>
          <w:rFonts w:ascii="ArialUnicodeMS" w:eastAsia="ArialUnicodeMS" w:hAnsi="ArialUnicodeMS" w:cs="ArialUnicodeMS"/>
          <w:sz w:val="20"/>
          <w:szCs w:val="20"/>
        </w:rPr>
        <w:t>2015; 66:209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–14.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>5,</w:t>
      </w:r>
      <w:r>
        <w:rPr>
          <w:rFonts w:ascii="ArialUnicodeMS" w:eastAsia="ArialUnicodeMS" w:hAnsi="ArialUnicodeMS" w:cs="ArialUnicodeMS"/>
          <w:color w:val="191C1C"/>
          <w:sz w:val="20"/>
          <w:szCs w:val="20"/>
        </w:rPr>
        <w:t>6</w:t>
      </w:r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>-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Yokoe M, Takada T, Strasberg SM,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Solomkin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JS, Mayumi T, </w:t>
      </w:r>
      <w:proofErr w:type="spellStart"/>
      <w:r>
        <w:rPr>
          <w:rFonts w:ascii="ArialUnicodeMS" w:eastAsia="ArialUnicodeMS" w:hAnsi="ArialUnicodeMS" w:cs="ArialUnicodeMS" w:hint="eastAsia"/>
          <w:sz w:val="20"/>
          <w:szCs w:val="20"/>
        </w:rPr>
        <w:t>Gomi</w:t>
      </w:r>
      <w:proofErr w:type="spellEnd"/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H, et al. New diagnostic criteria and severity assessment of acute cholecystitis in revised Tokyo guidelines. J Hepatobiliary </w:t>
      </w:r>
      <w:r>
        <w:rPr>
          <w:rFonts w:ascii="ArialUnicodeMS" w:eastAsia="ArialUnicodeMS" w:hAnsi="ArialUnicodeMS" w:cs="ArialUnicodeMS"/>
          <w:sz w:val="20"/>
          <w:szCs w:val="20"/>
        </w:rPr>
        <w:t>Pancreatic</w:t>
      </w:r>
      <w:r>
        <w:rPr>
          <w:rFonts w:ascii="ArialUnicodeMS" w:eastAsia="ArialUnicodeMS" w:hAnsi="ArialUnicodeMS" w:cs="ArialUnicodeMS" w:hint="eastAsia"/>
          <w:sz w:val="20"/>
          <w:szCs w:val="20"/>
        </w:rPr>
        <w:t xml:space="preserve"> Sci. </w:t>
      </w:r>
      <w:r>
        <w:rPr>
          <w:rFonts w:ascii="ArialUnicodeMS" w:eastAsia="ArialUnicodeMS" w:hAnsi="ArialUnicodeMS" w:cs="ArialUnicodeMS"/>
          <w:sz w:val="20"/>
          <w:szCs w:val="20"/>
        </w:rPr>
        <w:t>2012; 19:578</w:t>
      </w:r>
      <w:r>
        <w:rPr>
          <w:rFonts w:ascii="ArialUnicodeMS" w:eastAsia="ArialUnicodeMS" w:hAnsi="ArialUnicodeMS" w:cs="ArialUnicodeMS" w:hint="eastAsia"/>
          <w:sz w:val="20"/>
          <w:szCs w:val="20"/>
        </w:rPr>
        <w:t>–85.</w:t>
      </w:r>
      <w:r>
        <w:rPr>
          <w:rFonts w:ascii="ArialUnicodeMS" w:eastAsia="ArialUnicodeMS" w:hAnsi="ArialUnicodeMS" w:cs="ArialUnicodeMS" w:hint="eastAsia"/>
          <w:sz w:val="20"/>
          <w:szCs w:val="20"/>
        </w:rPr>
        <w:br/>
      </w:r>
      <w:r>
        <w:rPr>
          <w:rFonts w:ascii="ArialUnicodeMS" w:eastAsia="ArialUnicodeMS" w:hAnsi="ArialUnicodeMS" w:cs="ArialUnicodeMS"/>
          <w:color w:val="191C1C"/>
          <w:sz w:val="20"/>
          <w:szCs w:val="20"/>
        </w:rPr>
        <w:t>7</w:t>
      </w:r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- </w:t>
      </w:r>
      <w:proofErr w:type="spellStart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>Fuks</w:t>
      </w:r>
      <w:proofErr w:type="spellEnd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 D, </w:t>
      </w:r>
      <w:proofErr w:type="spellStart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>Mouly</w:t>
      </w:r>
      <w:proofErr w:type="spellEnd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 C, Robert B, Hajji H, </w:t>
      </w:r>
      <w:proofErr w:type="spellStart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>Yzet</w:t>
      </w:r>
      <w:proofErr w:type="spellEnd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 T, </w:t>
      </w:r>
      <w:proofErr w:type="spellStart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>Regimbeau</w:t>
      </w:r>
      <w:proofErr w:type="spellEnd"/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 J‐M. Acute cholecystitis: preoperative CT can help the surgeon consider </w:t>
      </w:r>
      <w:r>
        <w:rPr>
          <w:rFonts w:ascii="ArialUnicodeMS" w:eastAsia="ArialUnicodeMS" w:hAnsi="ArialUnicodeMS" w:cs="ArialUnicodeMS"/>
          <w:color w:val="191C1C"/>
          <w:sz w:val="20"/>
          <w:szCs w:val="20"/>
        </w:rPr>
        <w:t>converting</w:t>
      </w:r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 from laparoscopic to open cholecystectomy. Radiology. </w:t>
      </w:r>
      <w:r>
        <w:rPr>
          <w:rFonts w:ascii="ArialUnicodeMS" w:eastAsia="ArialUnicodeMS" w:hAnsi="ArialUnicodeMS" w:cs="ArialUnicodeMS"/>
          <w:color w:val="191C1C"/>
          <w:sz w:val="20"/>
          <w:szCs w:val="20"/>
        </w:rPr>
        <w:t>2012; 263:128</w:t>
      </w:r>
      <w:r>
        <w:rPr>
          <w:rFonts w:ascii="ArialUnicodeMS" w:eastAsia="ArialUnicodeMS" w:hAnsi="ArialUnicodeMS" w:cs="ArialUnicodeMS" w:hint="eastAsia"/>
          <w:color w:val="191C1C"/>
          <w:sz w:val="20"/>
          <w:szCs w:val="20"/>
        </w:rPr>
        <w:t xml:space="preserve">–38. </w:t>
      </w:r>
    </w:p>
    <w:p w14:paraId="256CDFBF" w14:textId="77777777" w:rsidR="00886504" w:rsidRDefault="00886504"/>
    <w:sectPr w:rsidR="00886504" w:rsidSect="005970B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Unicode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83"/>
    <w:rsid w:val="005970B9"/>
    <w:rsid w:val="00886504"/>
    <w:rsid w:val="00E2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013CD7"/>
  <w15:chartTrackingRefBased/>
  <w15:docId w15:val="{09291231-6EB1-D143-839C-26BB58CF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05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7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Kirolos Abdelsaid</dc:creator>
  <cp:keywords/>
  <dc:description/>
  <cp:lastModifiedBy>Kirolos Abdelsaid</cp:lastModifiedBy>
  <cp:revision>1</cp:revision>
  <dcterms:created xsi:type="dcterms:W3CDTF">2022-04-08T13:14:00Z</dcterms:created>
  <dcterms:modified xsi:type="dcterms:W3CDTF">2022-04-08T13:20:00Z</dcterms:modified>
</cp:coreProperties>
</file>