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83AF5" w14:textId="45FA3737" w:rsidR="005C30B9" w:rsidRDefault="005C30B9">
      <w:pPr>
        <w:rPr>
          <w:b/>
          <w:bCs/>
          <w:i/>
          <w:iCs/>
        </w:rPr>
      </w:pPr>
      <w:r w:rsidRPr="00FE621B">
        <w:rPr>
          <w:b/>
          <w:bCs/>
          <w:i/>
          <w:iCs/>
        </w:rPr>
        <w:t>The optimal timing of Laparoscopic cholecystectomy following percutaneous cholecystostomy in Acute cholecystitis.</w:t>
      </w:r>
    </w:p>
    <w:p w14:paraId="2B25058F" w14:textId="77777777" w:rsidR="00FE621B" w:rsidRPr="00FE621B" w:rsidRDefault="00FE621B">
      <w:pPr>
        <w:rPr>
          <w:b/>
          <w:bCs/>
          <w:i/>
          <w:iCs/>
        </w:rPr>
      </w:pPr>
    </w:p>
    <w:p w14:paraId="555FE540" w14:textId="3741E5D9" w:rsidR="00133A8F" w:rsidRPr="00FE621B" w:rsidRDefault="005C30B9">
      <w:pPr>
        <w:rPr>
          <w:b/>
          <w:bCs/>
        </w:rPr>
      </w:pPr>
      <w:r w:rsidRPr="00FE621B">
        <w:rPr>
          <w:b/>
          <w:bCs/>
        </w:rPr>
        <w:t>Introduction:</w:t>
      </w:r>
    </w:p>
    <w:p w14:paraId="0EEFDDCD" w14:textId="22E057A3" w:rsidR="005C30B9" w:rsidRDefault="00895384">
      <w:r>
        <w:t>P</w:t>
      </w:r>
      <w:r w:rsidR="005C30B9">
        <w:t xml:space="preserve">ercutaneous </w:t>
      </w:r>
      <w:r>
        <w:t>c</w:t>
      </w:r>
      <w:r w:rsidR="005C30B9">
        <w:t xml:space="preserve">holecystostomy (PC) is an effective option for high risk </w:t>
      </w:r>
      <w:r w:rsidR="00706204">
        <w:t>and</w:t>
      </w:r>
      <w:r w:rsidR="005C30B9">
        <w:t xml:space="preserve"> delayed presented Acute cholecystitis (AC</w:t>
      </w:r>
      <w:r w:rsidR="00B0728C">
        <w:t>). However,</w:t>
      </w:r>
      <w:r w:rsidR="005C30B9">
        <w:t xml:space="preserve"> the optimal timing for </w:t>
      </w:r>
      <w:r w:rsidR="00B201DC">
        <w:t xml:space="preserve">subsequent </w:t>
      </w:r>
      <w:r>
        <w:t>l</w:t>
      </w:r>
      <w:r w:rsidR="00B201DC">
        <w:t>aparoscopic cholecystectomy (LC)</w:t>
      </w:r>
      <w:r w:rsidR="00B0728C">
        <w:t xml:space="preserve"> as</w:t>
      </w:r>
      <w:r w:rsidR="005C30B9">
        <w:t xml:space="preserve"> a definitive treatment remains controversial.</w:t>
      </w:r>
    </w:p>
    <w:p w14:paraId="792C7DFF" w14:textId="77777777" w:rsidR="00895384" w:rsidRDefault="00895384">
      <w:pPr>
        <w:rPr>
          <w:b/>
          <w:bCs/>
        </w:rPr>
      </w:pPr>
    </w:p>
    <w:p w14:paraId="22983A72" w14:textId="3E45070E" w:rsidR="005C30B9" w:rsidRPr="00FE621B" w:rsidRDefault="005C30B9">
      <w:pPr>
        <w:rPr>
          <w:b/>
          <w:bCs/>
        </w:rPr>
      </w:pPr>
      <w:r w:rsidRPr="00FE621B">
        <w:rPr>
          <w:b/>
          <w:bCs/>
        </w:rPr>
        <w:t>Methods:</w:t>
      </w:r>
    </w:p>
    <w:p w14:paraId="558C6FBB" w14:textId="034D41D8" w:rsidR="005C30B9" w:rsidRDefault="005C30B9" w:rsidP="005C30B9">
      <w:r>
        <w:t xml:space="preserve">This study includes 41 patients </w:t>
      </w:r>
      <w:r w:rsidR="00706204">
        <w:t xml:space="preserve">who </w:t>
      </w:r>
      <w:r>
        <w:t>underwent LC following PC for sever</w:t>
      </w:r>
      <w:r w:rsidR="00895384">
        <w:t>e</w:t>
      </w:r>
      <w:r>
        <w:t xml:space="preserve"> </w:t>
      </w:r>
      <w:r w:rsidR="00895384">
        <w:t>AC</w:t>
      </w:r>
      <w:r>
        <w:t xml:space="preserve">. </w:t>
      </w:r>
      <w:r w:rsidR="00B201DC">
        <w:t xml:space="preserve">We compared the length of tube insertion, </w:t>
      </w:r>
      <w:r w:rsidR="00706204">
        <w:t xml:space="preserve">the </w:t>
      </w:r>
      <w:r w:rsidR="00B201DC">
        <w:t xml:space="preserve">period from PC till LC and </w:t>
      </w:r>
      <w:r w:rsidR="00706204">
        <w:t xml:space="preserve">the </w:t>
      </w:r>
      <w:r w:rsidR="00B201DC">
        <w:t>period from PC removal till LC against co-morbidities, another attack of AC, subsequent pancreatitis</w:t>
      </w:r>
      <w:r w:rsidR="007E775C">
        <w:t>/</w:t>
      </w:r>
      <w:r w:rsidR="00B201DC">
        <w:t>jaundice and operative difficulties in terms of intraoperative adhesions, drain</w:t>
      </w:r>
      <w:r w:rsidR="007E775C">
        <w:t xml:space="preserve"> insertion</w:t>
      </w:r>
      <w:r w:rsidR="00B201DC">
        <w:t>, conversion to open,</w:t>
      </w:r>
      <w:r w:rsidR="007E775C">
        <w:t xml:space="preserve"> </w:t>
      </w:r>
      <w:r w:rsidR="00B201DC">
        <w:t xml:space="preserve">length of </w:t>
      </w:r>
      <w:r w:rsidR="007E775C">
        <w:t>operation</w:t>
      </w:r>
      <w:r w:rsidR="00B201DC">
        <w:t>.</w:t>
      </w:r>
    </w:p>
    <w:p w14:paraId="7DDEFBA1" w14:textId="1480D603" w:rsidR="00B201DC" w:rsidRPr="00FE621B" w:rsidRDefault="00B201DC" w:rsidP="005C30B9">
      <w:pPr>
        <w:rPr>
          <w:b/>
          <w:bCs/>
        </w:rPr>
      </w:pPr>
      <w:r w:rsidRPr="00FE621B">
        <w:rPr>
          <w:b/>
          <w:bCs/>
        </w:rPr>
        <w:t>Results:</w:t>
      </w:r>
    </w:p>
    <w:p w14:paraId="37ED35D0" w14:textId="45E39F0F" w:rsidR="00FE621B" w:rsidRDefault="00B201DC" w:rsidP="005C30B9">
      <w:r>
        <w:t xml:space="preserve">The median </w:t>
      </w:r>
      <w:r w:rsidR="007E775C">
        <w:t>time of</w:t>
      </w:r>
      <w:r>
        <w:t xml:space="preserve"> </w:t>
      </w:r>
      <w:r w:rsidR="00706204">
        <w:t xml:space="preserve">the </w:t>
      </w:r>
      <w:r>
        <w:t>length of tube insertion was 36 days (range 5-208)</w:t>
      </w:r>
      <w:r w:rsidR="00706204">
        <w:t>,</w:t>
      </w:r>
      <w:r>
        <w:t xml:space="preserve"> while the median time of PC insertion till LC was 144 days (range 31-744)</w:t>
      </w:r>
      <w:r w:rsidR="00706204">
        <w:t>,</w:t>
      </w:r>
      <w:r w:rsidR="00FE621B">
        <w:t xml:space="preserve"> and for </w:t>
      </w:r>
      <w:r w:rsidR="00706204">
        <w:t xml:space="preserve">the </w:t>
      </w:r>
      <w:r w:rsidR="00FE621B">
        <w:t>period from PC removal till LC was 78 days (range 0-714). Patients with prolong</w:t>
      </w:r>
      <w:r w:rsidR="007E775C">
        <w:t>ed</w:t>
      </w:r>
      <w:r w:rsidR="00FE621B">
        <w:t xml:space="preserve"> tube insertion (more than a month) showed </w:t>
      </w:r>
      <w:r w:rsidR="00706204">
        <w:t xml:space="preserve">a </w:t>
      </w:r>
      <w:r w:rsidR="00FE621B">
        <w:t>higher risk of developing subsequent pancreatitis and jaundice (P=0.04)</w:t>
      </w:r>
      <w:r w:rsidR="00706204">
        <w:t>. At the same time,</w:t>
      </w:r>
      <w:r w:rsidR="00FE621B">
        <w:t xml:space="preserve"> intraoperative adhesions </w:t>
      </w:r>
      <w:r w:rsidR="00706204">
        <w:t>were</w:t>
      </w:r>
      <w:r w:rsidR="00FE621B">
        <w:t xml:space="preserve"> associated with </w:t>
      </w:r>
      <w:r w:rsidR="00706204">
        <w:t>a long</w:t>
      </w:r>
      <w:r w:rsidR="00FE621B">
        <w:t xml:space="preserve"> time from tube insertion </w:t>
      </w:r>
      <w:r w:rsidR="00706204">
        <w:t>to</w:t>
      </w:r>
      <w:r w:rsidR="00FE621B">
        <w:t xml:space="preserve"> operation (more than </w:t>
      </w:r>
      <w:r w:rsidR="00706204">
        <w:t>four</w:t>
      </w:r>
      <w:r w:rsidR="00FE621B">
        <w:t xml:space="preserve"> months). There was no significant association between </w:t>
      </w:r>
      <w:r w:rsidR="00706204">
        <w:t>the length of tube insertion, period from PC insertion till LC, period from PC removal till LC,</w:t>
      </w:r>
      <w:r w:rsidR="00FE621B">
        <w:t xml:space="preserve"> a</w:t>
      </w:r>
      <w:r w:rsidR="00895384">
        <w:t>nd other studied parameters.</w:t>
      </w:r>
    </w:p>
    <w:p w14:paraId="36538537" w14:textId="6A1D40AB" w:rsidR="00895384" w:rsidRDefault="00895384" w:rsidP="005C30B9">
      <w:pPr>
        <w:rPr>
          <w:b/>
          <w:bCs/>
        </w:rPr>
      </w:pPr>
      <w:r w:rsidRPr="00895384">
        <w:rPr>
          <w:b/>
          <w:bCs/>
        </w:rPr>
        <w:t>Conclusion:</w:t>
      </w:r>
    </w:p>
    <w:p w14:paraId="39C1BCCF" w14:textId="6DCDD104" w:rsidR="00895384" w:rsidRDefault="00706204" w:rsidP="005C30B9">
      <w:r>
        <w:t>Prolonged</w:t>
      </w:r>
      <w:r w:rsidR="00895384">
        <w:t xml:space="preserve"> time of PC insertion </w:t>
      </w:r>
      <w:r>
        <w:t>and</w:t>
      </w:r>
      <w:r w:rsidR="00895384">
        <w:t xml:space="preserve"> </w:t>
      </w:r>
      <w:proofErr w:type="gramStart"/>
      <w:r>
        <w:t>lengthy-time</w:t>
      </w:r>
      <w:proofErr w:type="gramEnd"/>
      <w:r w:rsidR="00895384">
        <w:t xml:space="preserve"> </w:t>
      </w:r>
      <w:r>
        <w:t>from</w:t>
      </w:r>
      <w:r w:rsidR="00895384">
        <w:t xml:space="preserve"> PC insertion till LC in patients with AC </w:t>
      </w:r>
      <w:r>
        <w:t>has</w:t>
      </w:r>
      <w:r w:rsidR="00895384">
        <w:t xml:space="preserve"> </w:t>
      </w:r>
      <w:r>
        <w:t xml:space="preserve">a </w:t>
      </w:r>
      <w:r w:rsidR="00895384">
        <w:t>higher risk of pancreatitis and surgical difficulties. Further studies</w:t>
      </w:r>
      <w:r>
        <w:t>,</w:t>
      </w:r>
      <w:r w:rsidR="00895384">
        <w:t xml:space="preserve"> including </w:t>
      </w:r>
      <w:r>
        <w:t xml:space="preserve">a more significant number of </w:t>
      </w:r>
      <w:proofErr w:type="gramStart"/>
      <w:r>
        <w:t>patients</w:t>
      </w:r>
      <w:proofErr w:type="gramEnd"/>
      <w:r>
        <w:t xml:space="preserve"> samples, are</w:t>
      </w:r>
      <w:r w:rsidR="00895384">
        <w:t xml:space="preserve"> warranted to confirm the outcomes and determine the optimal time of LC following PC in those patients.</w:t>
      </w:r>
    </w:p>
    <w:p w14:paraId="5E11CB8B" w14:textId="77777777" w:rsidR="00706204" w:rsidRDefault="00706204" w:rsidP="00706204">
      <w:pPr>
        <w:rPr>
          <w:b/>
          <w:bCs/>
        </w:rPr>
      </w:pPr>
      <w:r w:rsidRPr="00706204">
        <w:rPr>
          <w:b/>
          <w:bCs/>
        </w:rPr>
        <w:t>Reference:</w:t>
      </w:r>
    </w:p>
    <w:p w14:paraId="6A298C1A" w14:textId="5810F313" w:rsidR="00706204" w:rsidRDefault="00706204" w:rsidP="00706204">
      <w:pPr>
        <w:rPr>
          <w:rFonts w:ascii="ArialUnicodeMS" w:eastAsia="ArialUnicodeMS" w:hAnsi="ArialUnicodeMS" w:cs="ArialUnicodeMS"/>
          <w:sz w:val="20"/>
          <w:szCs w:val="20"/>
        </w:rPr>
      </w:pPr>
      <w:r>
        <w:rPr>
          <w:rFonts w:ascii="ArialUnicodeMS" w:eastAsia="ArialUnicodeMS" w:hAnsi="ArialUnicodeMS" w:cs="ArialUnicodeMS" w:hint="eastAsia"/>
          <w:sz w:val="20"/>
          <w:szCs w:val="20"/>
        </w:rPr>
        <w:t>1.</w:t>
      </w:r>
      <w:r>
        <w:rPr>
          <w:rFonts w:ascii="ArialUnicodeMS" w:eastAsia="ArialUnicodeMS" w:hAnsi="ArialUnicodeMS" w:cs="ArialUnicodeMS"/>
          <w:sz w:val="20"/>
          <w:szCs w:val="20"/>
        </w:rPr>
        <w:t xml:space="preserve"> </w:t>
      </w:r>
      <w:r>
        <w:rPr>
          <w:rFonts w:ascii="ArialUnicodeMS" w:eastAsia="ArialUnicodeMS" w:hAnsi="ArialUnicodeMS" w:cs="ArialUnicodeMS" w:hint="eastAsia"/>
          <w:sz w:val="20"/>
          <w:szCs w:val="20"/>
        </w:rPr>
        <w:t>Han IW, Jang JY, Kang MJ, Lee KB, Lee SE, Kim SW. Early versus delayed laparoscopic</w:t>
      </w:r>
      <w:r>
        <w:rPr>
          <w:rFonts w:ascii="ArialUnicodeMS" w:eastAsia="ArialUnicodeMS" w:hAnsi="ArialUnicodeMS" w:cs="ArialUnicodeMS" w:hint="eastAsia"/>
          <w:sz w:val="20"/>
          <w:szCs w:val="20"/>
        </w:rPr>
        <w:br/>
      </w:r>
      <w:r>
        <w:rPr>
          <w:rFonts w:ascii="ArialUnicodeMS" w:eastAsia="ArialUnicodeMS" w:hAnsi="ArialUnicodeMS" w:cs="ArialUnicodeMS"/>
          <w:sz w:val="20"/>
          <w:szCs w:val="20"/>
        </w:rPr>
        <w:t>Cholecystectomy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after percutaneous transhepatic gallbladder drainage. J Hepatobiliary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Pancreat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Sci. </w:t>
      </w:r>
      <w:r>
        <w:rPr>
          <w:rFonts w:ascii="ArialUnicodeMS" w:eastAsia="ArialUnicodeMS" w:hAnsi="ArialUnicodeMS" w:cs="ArialUnicodeMS"/>
          <w:sz w:val="20"/>
          <w:szCs w:val="20"/>
        </w:rPr>
        <w:t>2012; 19:187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–93. </w:t>
      </w:r>
    </w:p>
    <w:p w14:paraId="2EC0CB20" w14:textId="1400C62B" w:rsidR="00706204" w:rsidRPr="00706204" w:rsidRDefault="00706204" w:rsidP="00706204">
      <w:pPr>
        <w:rPr>
          <w:b/>
          <w:bCs/>
        </w:rPr>
      </w:pPr>
      <w:r>
        <w:rPr>
          <w:rFonts w:ascii="ArialUnicodeMS" w:eastAsia="ArialUnicodeMS" w:hAnsi="ArialUnicodeMS" w:cs="ArialUnicodeMS" w:hint="eastAsia"/>
          <w:sz w:val="20"/>
          <w:szCs w:val="20"/>
        </w:rPr>
        <w:t>2.</w:t>
      </w:r>
      <w:r>
        <w:rPr>
          <w:rFonts w:ascii="ArialUnicodeMS" w:eastAsia="ArialUnicodeMS" w:hAnsi="ArialUnicodeMS" w:cs="ArialUnicodeMS"/>
          <w:sz w:val="20"/>
          <w:szCs w:val="20"/>
        </w:rPr>
        <w:t xml:space="preserve"> 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Choi JW, Park SH, Choi SY, Kim HS, Kim TH. Comparison of clinical </w:t>
      </w:r>
      <w:r>
        <w:rPr>
          <w:rFonts w:ascii="ArialUnicodeMS" w:eastAsia="ArialUnicodeMS" w:hAnsi="ArialUnicodeMS" w:cs="ArialUnicodeMS"/>
          <w:sz w:val="20"/>
          <w:szCs w:val="20"/>
        </w:rPr>
        <w:t>results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between early laparoscopic cholecystectomy and delayed laparoscopic cholecystectomy after percutaneous transhepatic gallbladder drainage for patients with complicated acute cholecystitis. Korean J Hepatobiliary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Pancreat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Surg. </w:t>
      </w:r>
      <w:r>
        <w:rPr>
          <w:rFonts w:ascii="ArialUnicodeMS" w:eastAsia="ArialUnicodeMS" w:hAnsi="ArialUnicodeMS" w:cs="ArialUnicodeMS"/>
          <w:sz w:val="20"/>
          <w:szCs w:val="20"/>
        </w:rPr>
        <w:t>2012; 16:147</w:t>
      </w:r>
      <w:r>
        <w:rPr>
          <w:rFonts w:ascii="ArialUnicodeMS" w:eastAsia="ArialUnicodeMS" w:hAnsi="ArialUnicodeMS" w:cs="ArialUnicodeMS" w:hint="eastAsia"/>
          <w:sz w:val="20"/>
          <w:szCs w:val="20"/>
        </w:rPr>
        <w:t>–53</w:t>
      </w:r>
      <w:r>
        <w:rPr>
          <w:rFonts w:ascii="ArialUnicodeMS" w:eastAsia="ArialUnicodeMS" w:hAnsi="ArialUnicodeMS" w:cs="ArialUnicodeMS" w:hint="eastAsia"/>
          <w:sz w:val="20"/>
          <w:szCs w:val="20"/>
        </w:rPr>
        <w:br/>
        <w:t xml:space="preserve">3. Tanaka M,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Komatsubara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H, Noguchi D, Ichikawa K,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Kouno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M,</w:t>
      </w:r>
      <w:r>
        <w:rPr>
          <w:rFonts w:ascii="ArialUnicodeMS" w:eastAsia="ArialUnicodeMS" w:hAnsi="ArialUnicodeMS" w:cs="ArialUnicodeMS"/>
          <w:sz w:val="20"/>
          <w:szCs w:val="20"/>
        </w:rPr>
        <w:t xml:space="preserve"> 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Kondo A, et al. Laparoscopic cholecystectomy after percutaneous transhepatic gallbladder drainage for acute cholecystitis. JJBA. </w:t>
      </w:r>
      <w:r>
        <w:rPr>
          <w:rFonts w:ascii="ArialUnicodeMS" w:eastAsia="ArialUnicodeMS" w:hAnsi="ArialUnicodeMS" w:cs="ArialUnicodeMS"/>
          <w:sz w:val="20"/>
          <w:szCs w:val="20"/>
        </w:rPr>
        <w:t>2016; 30:667</w:t>
      </w:r>
      <w:r>
        <w:rPr>
          <w:rFonts w:ascii="ArialUnicodeMS" w:eastAsia="ArialUnicodeMS" w:hAnsi="ArialUnicodeMS" w:cs="ArialUnicodeMS" w:hint="eastAsia"/>
          <w:sz w:val="20"/>
          <w:szCs w:val="20"/>
        </w:rPr>
        <w:t>–72 (in Japanese with English abstract).</w:t>
      </w:r>
      <w:r>
        <w:rPr>
          <w:rFonts w:ascii="ArialUnicodeMS" w:eastAsia="ArialUnicodeMS" w:hAnsi="ArialUnicodeMS" w:cs="ArialUnicodeMS" w:hint="eastAsia"/>
          <w:sz w:val="20"/>
          <w:szCs w:val="20"/>
        </w:rPr>
        <w:br/>
        <w:t>4.</w:t>
      </w:r>
      <w:r>
        <w:rPr>
          <w:rFonts w:ascii="ArialUnicodeMS" w:eastAsia="ArialUnicodeMS" w:hAnsi="ArialUnicodeMS" w:cs="ArialUnicodeMS"/>
          <w:sz w:val="20"/>
          <w:szCs w:val="20"/>
        </w:rPr>
        <w:t xml:space="preserve"> 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Jung WH, Park DE. Timing of cholecystectomy after percutaneous cholecystostomy for acute cholecystitis. Korean J Gastroenterol. </w:t>
      </w:r>
      <w:r>
        <w:rPr>
          <w:rFonts w:ascii="ArialUnicodeMS" w:eastAsia="ArialUnicodeMS" w:hAnsi="ArialUnicodeMS" w:cs="ArialUnicodeMS"/>
          <w:sz w:val="20"/>
          <w:szCs w:val="20"/>
        </w:rPr>
        <w:t>2015; 66:209</w:t>
      </w:r>
      <w:r>
        <w:rPr>
          <w:rFonts w:ascii="ArialUnicodeMS" w:eastAsia="ArialUnicodeMS" w:hAnsi="ArialUnicodeMS" w:cs="ArialUnicodeMS" w:hint="eastAsia"/>
          <w:sz w:val="20"/>
          <w:szCs w:val="20"/>
        </w:rPr>
        <w:t>–14.</w:t>
      </w:r>
      <w:r>
        <w:rPr>
          <w:rFonts w:ascii="ArialUnicodeMS" w:eastAsia="ArialUnicodeMS" w:hAnsi="ArialUnicodeMS" w:cs="ArialUnicodeMS" w:hint="eastAsia"/>
          <w:sz w:val="20"/>
          <w:szCs w:val="20"/>
        </w:rPr>
        <w:br/>
        <w:t>5.</w:t>
      </w:r>
      <w:r>
        <w:rPr>
          <w:rFonts w:ascii="ArialUnicodeMS" w:eastAsia="ArialUnicodeMS" w:hAnsi="ArialUnicodeMS" w:cs="ArialUnicodeMS"/>
          <w:sz w:val="20"/>
          <w:szCs w:val="20"/>
        </w:rPr>
        <w:t xml:space="preserve">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Yokoe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M, Takada T, Strasberg SM,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Solomkin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JS, Mayumi T,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Gomi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H, et al. New diagnostic criteria and severity assessment of acute cholecystitis in revised Tokyo guidelines. J Hepatobiliary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Pancreat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Sci. </w:t>
      </w:r>
      <w:r>
        <w:rPr>
          <w:rFonts w:ascii="ArialUnicodeMS" w:eastAsia="ArialUnicodeMS" w:hAnsi="ArialUnicodeMS" w:cs="ArialUnicodeMS"/>
          <w:sz w:val="20"/>
          <w:szCs w:val="20"/>
        </w:rPr>
        <w:t>2012; 19:578</w:t>
      </w:r>
      <w:r>
        <w:rPr>
          <w:rFonts w:ascii="ArialUnicodeMS" w:eastAsia="ArialUnicodeMS" w:hAnsi="ArialUnicodeMS" w:cs="ArialUnicodeMS" w:hint="eastAsia"/>
          <w:sz w:val="20"/>
          <w:szCs w:val="20"/>
        </w:rPr>
        <w:t>–85.</w:t>
      </w:r>
      <w:r>
        <w:rPr>
          <w:rFonts w:ascii="ArialUnicodeMS" w:eastAsia="ArialUnicodeMS" w:hAnsi="ArialUnicodeMS" w:cs="ArialUnicodeMS" w:hint="eastAsia"/>
          <w:sz w:val="20"/>
          <w:szCs w:val="20"/>
        </w:rPr>
        <w:br/>
      </w:r>
      <w:r>
        <w:rPr>
          <w:rFonts w:ascii="ArialUnicodeMS" w:eastAsia="ArialUnicodeMS" w:hAnsi="ArialUnicodeMS" w:cs="ArialUnicodeMS" w:hint="eastAsia"/>
          <w:sz w:val="20"/>
          <w:szCs w:val="20"/>
        </w:rPr>
        <w:lastRenderedPageBreak/>
        <w:t xml:space="preserve">6.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Fuks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D,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Mouly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C, Robert B, Hajji H,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Yzet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T,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Regimbeau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J‐M. Acute cholecystitis: preoperative CT can help the surgeon consider </w:t>
      </w:r>
      <w:r>
        <w:rPr>
          <w:rFonts w:ascii="ArialUnicodeMS" w:eastAsia="ArialUnicodeMS" w:hAnsi="ArialUnicodeMS" w:cs="ArialUnicodeMS"/>
          <w:sz w:val="20"/>
          <w:szCs w:val="20"/>
        </w:rPr>
        <w:t>converting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from laparoscopic to open cholecystectomy. Radiology. </w:t>
      </w:r>
      <w:proofErr w:type="gramStart"/>
      <w:r>
        <w:rPr>
          <w:rFonts w:ascii="ArialUnicodeMS" w:eastAsia="ArialUnicodeMS" w:hAnsi="ArialUnicodeMS" w:cs="ArialUnicodeMS" w:hint="eastAsia"/>
          <w:sz w:val="20"/>
          <w:szCs w:val="20"/>
        </w:rPr>
        <w:t>2012;263:128</w:t>
      </w:r>
      <w:proofErr w:type="gram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–38. </w:t>
      </w:r>
    </w:p>
    <w:p w14:paraId="2831DFA2" w14:textId="77777777" w:rsidR="00706204" w:rsidRPr="00706204" w:rsidRDefault="00706204" w:rsidP="005C30B9">
      <w:pPr>
        <w:rPr>
          <w:b/>
          <w:bCs/>
        </w:rPr>
      </w:pPr>
    </w:p>
    <w:p w14:paraId="30DE4DD8" w14:textId="77777777" w:rsidR="00FE621B" w:rsidRDefault="00FE621B" w:rsidP="005C30B9"/>
    <w:p w14:paraId="639B48DC" w14:textId="77777777" w:rsidR="00B201DC" w:rsidRDefault="00B201DC" w:rsidP="005C30B9"/>
    <w:p w14:paraId="5A2EAF82" w14:textId="77777777" w:rsidR="005C30B9" w:rsidRDefault="005C30B9"/>
    <w:p w14:paraId="3C42C5F7" w14:textId="77777777" w:rsidR="005C30B9" w:rsidRDefault="005C30B9"/>
    <w:sectPr w:rsidR="005C30B9" w:rsidSect="005970B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Unicode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B9"/>
    <w:rsid w:val="00133A8F"/>
    <w:rsid w:val="005970B9"/>
    <w:rsid w:val="005C30B9"/>
    <w:rsid w:val="006C020E"/>
    <w:rsid w:val="00706204"/>
    <w:rsid w:val="007E775C"/>
    <w:rsid w:val="00895384"/>
    <w:rsid w:val="00A55377"/>
    <w:rsid w:val="00B0728C"/>
    <w:rsid w:val="00B201DC"/>
    <w:rsid w:val="00FE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5669AA"/>
  <w15:chartTrackingRefBased/>
  <w15:docId w15:val="{CE313CE9-C72E-0647-A313-EE2695D6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020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20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0620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1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34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Kirolos Abdelsaid</dc:creator>
  <cp:keywords/>
  <dc:description/>
  <cp:lastModifiedBy>Kirolos Abdelsaid</cp:lastModifiedBy>
  <cp:revision>3</cp:revision>
  <dcterms:created xsi:type="dcterms:W3CDTF">2022-04-08T13:00:00Z</dcterms:created>
  <dcterms:modified xsi:type="dcterms:W3CDTF">2022-04-08T13:08:00Z</dcterms:modified>
</cp:coreProperties>
</file>