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sz w:val="32"/>
          <w:szCs w:val="32"/>
          <w:u w:val="none"/>
          <w:lang w:val="en-US"/>
        </w:rPr>
      </w:pPr>
      <w:r>
        <w:rPr>
          <w:b w:val="0"/>
          <w:bCs w:val="0"/>
          <w:sz w:val="32"/>
          <w:szCs w:val="32"/>
          <w:u w:val="none"/>
        </w:rPr>
        <w:t>Evaluation of Alvarado score and Appendicitis Inflammatory Response score (AIR) as diagnostic tools for acute appendicitis</w:t>
      </w:r>
      <w:r>
        <w:rPr>
          <w:rFonts w:hint="default"/>
          <w:b w:val="0"/>
          <w:bCs w:val="0"/>
          <w:sz w:val="32"/>
          <w:szCs w:val="32"/>
          <w:u w:val="none"/>
          <w:lang w:val="en-US"/>
        </w:rPr>
        <w:t>.</w:t>
      </w:r>
    </w:p>
    <w:p>
      <w:pPr>
        <w:jc w:val="both"/>
        <w:rPr>
          <w:rFonts w:hint="default"/>
          <w:b w:val="0"/>
          <w:bCs w:val="0"/>
          <w:sz w:val="32"/>
          <w:szCs w:val="32"/>
          <w:u w:val="none"/>
          <w:lang w:val="en-US"/>
        </w:rPr>
      </w:pPr>
    </w:p>
    <w:p>
      <w:pPr>
        <w:jc w:val="both"/>
        <w:rPr>
          <w:rFonts w:hint="default"/>
          <w:b w:val="0"/>
          <w:bCs w:val="0"/>
          <w:sz w:val="32"/>
          <w:szCs w:val="32"/>
          <w:u w:val="none"/>
          <w:lang w:val="en-US"/>
        </w:rPr>
      </w:pPr>
      <w:r>
        <w:rPr>
          <w:rFonts w:hint="default"/>
          <w:b w:val="0"/>
          <w:bCs w:val="0"/>
          <w:sz w:val="32"/>
          <w:szCs w:val="32"/>
          <w:u w:val="none"/>
          <w:lang w:val="en-US"/>
        </w:rPr>
        <w:t>M Hassan, M Boshnaq</w:t>
      </w:r>
    </w:p>
    <w:p>
      <w:pPr>
        <w:jc w:val="both"/>
        <w:rPr>
          <w:rFonts w:hint="default"/>
          <w:b w:val="0"/>
          <w:bCs w:val="0"/>
          <w:sz w:val="32"/>
          <w:szCs w:val="32"/>
          <w:u w:val="none"/>
          <w:lang w:val="en-US"/>
        </w:rPr>
      </w:pPr>
    </w:p>
    <w:p>
      <w:pPr>
        <w:jc w:val="both"/>
        <w:rPr>
          <w:rFonts w:hint="default"/>
          <w:b/>
          <w:bCs/>
          <w:sz w:val="32"/>
          <w:szCs w:val="32"/>
          <w:u w:val="none"/>
          <w:lang w:val="en-US"/>
        </w:rPr>
      </w:pPr>
      <w:r>
        <w:rPr>
          <w:rFonts w:hint="default"/>
          <w:b/>
          <w:bCs/>
          <w:sz w:val="32"/>
          <w:szCs w:val="32"/>
          <w:u w:val="none"/>
          <w:lang w:val="en-US"/>
        </w:rPr>
        <w:t xml:space="preserve">Purpose of the study </w:t>
      </w:r>
    </w:p>
    <w:p/>
    <w:p>
      <w:pPr>
        <w:rPr>
          <w:sz w:val="28"/>
          <w:szCs w:val="28"/>
        </w:rPr>
      </w:pPr>
      <w:r>
        <w:rPr>
          <w:rFonts w:hint="default" w:cs="Times New Roman"/>
          <w:sz w:val="28"/>
          <w:szCs w:val="28"/>
          <w:lang w:val="en-US"/>
        </w:rPr>
        <w:t>E</w:t>
      </w:r>
      <w:r>
        <w:rPr>
          <w:rFonts w:hint="default" w:ascii="Times New Roman" w:hAnsi="Times New Roman" w:cs="Times New Roman"/>
          <w:sz w:val="28"/>
          <w:szCs w:val="28"/>
        </w:rPr>
        <w:t xml:space="preserve">xplore the demographic and clinical characteristics of suspected appendicitis cases over an </w:t>
      </w:r>
      <w:r>
        <w:rPr>
          <w:rFonts w:hint="default" w:cs="Times New Roman"/>
          <w:sz w:val="28"/>
          <w:szCs w:val="28"/>
          <w:lang w:val="en-US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month</w:t>
      </w:r>
      <w:r>
        <w:rPr>
          <w:rFonts w:hint="default" w:cs="Times New Roman"/>
          <w:sz w:val="28"/>
          <w:szCs w:val="28"/>
          <w:lang w:val="en-US"/>
        </w:rPr>
        <w:t>s</w:t>
      </w:r>
      <w:r>
        <w:rPr>
          <w:rFonts w:hint="default" w:ascii="Times New Roman" w:hAnsi="Times New Roman" w:cs="Times New Roman"/>
          <w:sz w:val="28"/>
          <w:szCs w:val="28"/>
        </w:rPr>
        <w:t xml:space="preserve"> period at a busy DGH, and by doing so evaluate the diagnostic accuracy of AIR and Alvarado scores for acute appendicitis.</w:t>
      </w:r>
    </w:p>
    <w:p>
      <w:pPr>
        <w:rPr>
          <w:rFonts w:hint="default"/>
        </w:rPr>
      </w:pPr>
    </w:p>
    <w:p>
      <w:pPr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Statement of methods</w:t>
      </w:r>
    </w:p>
    <w:p>
      <w:pPr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/>
          <w:sz w:val="24"/>
          <w:szCs w:val="24"/>
          <w:u w:val="none"/>
          <w:lang w:val="en-US"/>
        </w:rPr>
        <w:t xml:space="preserve">We conducted a prospective and comparative  analysis with 73 patients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to compare the efficacy of Appendicitis Inflammatory Response (AIR) score with the Alvarado score in the diagnosis of acute appendicitis from January 2021 to March 2021.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The study included </w:t>
      </w:r>
      <w:r>
        <w:rPr>
          <w:rFonts w:hint="default" w:ascii="Times New Roman" w:hAnsi="Times New Roman" w:eastAsia="JansonTextLTStd-Roman" w:cs="Times New Roman"/>
          <w:color w:val="000000"/>
          <w:kern w:val="0"/>
          <w:sz w:val="24"/>
          <w:szCs w:val="24"/>
          <w:lang w:val="en-US" w:eastAsia="zh-CN" w:bidi="ar"/>
        </w:rPr>
        <w:t>all consecutive patients referred by a general practitioner or emergency physician to the on-call surgeon’s team with suspected appendicitis or acute RIF pain were identified at the point of admission to the surgical unit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at Tunbridge Wells Hospital , Tunbridge Wells , England , UK.</w:t>
      </w:r>
    </w:p>
    <w:p>
      <w:pPr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>
      <w:pPr>
        <w:rPr>
          <w:rFonts w:hint="default" w:ascii="Times New Roman" w:hAnsi="Times New Roman" w:eastAsia="SimSu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US"/>
        </w:rPr>
        <w:t xml:space="preserve">The results </w:t>
      </w:r>
    </w:p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SimSun"/>
          <w:b/>
          <w:bCs/>
          <w:color w:val="003296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SimSun"/>
          <w:b/>
          <w:bCs/>
          <w:color w:val="003296"/>
          <w:kern w:val="0"/>
          <w:sz w:val="24"/>
          <w:szCs w:val="24"/>
          <w:lang w:val="en-US" w:eastAsia="zh-CN"/>
        </w:rPr>
      </w:pPr>
      <w:r>
        <w:rPr>
          <w:rFonts w:ascii="Times New Roman" w:hAnsi="Times New Roman" w:eastAsia="SimSun"/>
          <w:b/>
          <w:bCs/>
          <w:color w:val="003296"/>
          <w:kern w:val="0"/>
          <w:sz w:val="24"/>
          <w:szCs w:val="24"/>
          <w:lang w:val="en-US" w:eastAsia="zh-CN"/>
        </w:rPr>
        <w:t>Correlation between AIR score and histopathological findings.</w:t>
      </w:r>
    </w:p>
    <w:p>
      <w:pPr>
        <w:keepNext w:val="0"/>
        <w:widowControl/>
        <w:jc w:val="left"/>
        <w:rPr>
          <w:rFonts w:ascii="Times New Roman" w:hAnsi="Times New Roman" w:eastAsia="SimSun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bidi w:val="0"/>
        <w:spacing w:before="0" w:beforeAutospacing="0" w:after="240" w:afterAutospacing="0" w:line="259" w:lineRule="auto"/>
        <w:ind w:left="0" w:right="0"/>
        <w:jc w:val="both"/>
        <w:rPr>
          <w:rFonts w:ascii="Times New Roman" w:hAnsi="Times New Roman" w:eastAsia="Times New Roman" w:cs="Times New Roman"/>
          <w:sz w:val="24"/>
          <w:szCs w:val="24"/>
          <w:u w:val="none"/>
          <w:lang w:val="en-US"/>
        </w:rPr>
      </w:pPr>
      <w:r>
        <w:rPr>
          <w:sz w:val="24"/>
          <w:szCs w:val="24"/>
          <w:u w:val="none"/>
          <w:lang w:val="en-US"/>
        </w:rPr>
        <w:t xml:space="preserve">     On the AIR score, five </w:t>
      </w:r>
      <w:r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/>
          <w:sz w:val="24"/>
          <w:szCs w:val="24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(8.5%)</w:t>
      </w:r>
      <w:r>
        <w:rPr>
          <w:sz w:val="24"/>
          <w:szCs w:val="24"/>
          <w:u w:val="none"/>
          <w:lang w:val="en-US"/>
        </w:rPr>
        <w:t xml:space="preserve"> patients scored high, 41</w:t>
      </w:r>
      <w:r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/>
          <w:sz w:val="24"/>
          <w:szCs w:val="24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(69.5%)</w:t>
      </w:r>
      <w:r>
        <w:rPr>
          <w:sz w:val="24"/>
          <w:szCs w:val="24"/>
          <w:u w:val="none"/>
          <w:lang w:val="en-US"/>
        </w:rPr>
        <w:t xml:space="preserve"> scored moderate, and 13 </w:t>
      </w:r>
      <w:r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/>
          <w:sz w:val="24"/>
          <w:szCs w:val="24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(22.0%)</w:t>
      </w:r>
      <w:r>
        <w:rPr>
          <w:sz w:val="24"/>
          <w:szCs w:val="24"/>
          <w:u w:val="none"/>
          <w:lang w:val="en-US"/>
        </w:rPr>
        <w:t xml:space="preserve"> scored low in the positive group. AIR scores for those in the negative group were low for 12 </w:t>
      </w:r>
      <w:r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/>
          <w:sz w:val="24"/>
          <w:szCs w:val="24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(85.7%) patients</w:t>
      </w:r>
      <w:r>
        <w:rPr>
          <w:sz w:val="24"/>
          <w:szCs w:val="24"/>
          <w:u w:val="none"/>
          <w:lang w:val="en-US"/>
        </w:rPr>
        <w:t xml:space="preserve">, moderate for 2 </w:t>
      </w:r>
      <w:r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/>
          <w:sz w:val="24"/>
          <w:szCs w:val="24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(14.3%),</w:t>
      </w:r>
      <w:r>
        <w:rPr>
          <w:sz w:val="24"/>
          <w:szCs w:val="24"/>
          <w:u w:val="none"/>
          <w:lang w:val="en-US"/>
        </w:rPr>
        <w:t xml:space="preserve"> and none </w:t>
      </w:r>
      <w:r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/>
          <w:sz w:val="24"/>
          <w:szCs w:val="24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(0.0%)</w:t>
      </w:r>
      <w:r>
        <w:rPr>
          <w:sz w:val="24"/>
          <w:szCs w:val="24"/>
          <w:u w:val="none"/>
          <w:lang w:val="en-US"/>
        </w:rPr>
        <w:t xml:space="preserve"> scored high with only 2 patients were false positive.</w:t>
      </w:r>
    </w:p>
    <w:p>
      <w:pPr>
        <w:pStyle w:val="4"/>
        <w:ind w:left="0" w:leftChars="0" w:firstLine="0" w:firstLineChars="0"/>
        <w:jc w:val="both"/>
        <w:rPr>
          <w:u w:val="none"/>
          <w:lang w:val="en-US"/>
        </w:rPr>
      </w:pPr>
      <w:r>
        <w:rPr>
          <w:sz w:val="24"/>
          <w:szCs w:val="24"/>
          <w:u w:val="none"/>
          <w:lang w:val="en-US"/>
        </w:rPr>
        <w:t>The correlations between the AIR score and histopathology results were highly significant (P value 0.000).</w:t>
      </w:r>
    </w:p>
    <w:p>
      <w:pPr>
        <w:keepNext w:val="0"/>
        <w:widowControl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0"/>
          <w:szCs w:val="20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ascii="Times New Roman" w:hAnsi="Times New Roman" w:eastAsia="SimSun"/>
          <w:b/>
          <w:bCs/>
          <w:color w:val="003296"/>
          <w:sz w:val="24"/>
          <w:szCs w:val="24"/>
          <w:lang w:val="en-US" w:eastAsia="zh-CN"/>
        </w:rPr>
        <w:t>Correlation between Alvarado score and histopathological findings.</w:t>
      </w:r>
    </w:p>
    <w:p>
      <w:pPr>
        <w:keepNext w:val="0"/>
        <w:widowControl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</w:t>
      </w:r>
    </w:p>
    <w:p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auto"/>
          <w:sz w:val="24"/>
          <w:szCs w:val="24"/>
          <w:lang w:val="en-US"/>
        </w:rPr>
        <w:t>In the positive group, 33 (55.9%) patients had high, 17 (28.8%) moderate and 9 (15.3%) low scores for the Alvardo score, while 6 (42.9%) patients had low scores and 6 (42.9%) scored moderate and 2 (14.3%) patients scored high in the negative group. 8 patients were false positives.  A significant correlation between Alvarado score and histopathology results was found (P value = 0.011).</w:t>
      </w:r>
    </w:p>
    <w:p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auto"/>
          <w:sz w:val="24"/>
          <w:szCs w:val="24"/>
          <w:u w:val="none"/>
          <w:lang w:val="en-US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auto"/>
          <w:sz w:val="24"/>
          <w:szCs w:val="24"/>
          <w:lang w:val="en-US"/>
        </w:rPr>
        <w:t xml:space="preserve">It is noticed in the study the sensitivity of the AIR and Alvarado scores are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auto"/>
          <w:sz w:val="24"/>
          <w:szCs w:val="24"/>
          <w:u w:val="none"/>
          <w:lang w:val="en-US"/>
        </w:rPr>
        <w:t>77.97 % and 67.80 % respectively and the specificity was 85.71 % and 78.57 % respectively</w:t>
      </w:r>
      <w:r>
        <w:rPr>
          <w:rFonts w:hint="default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auto"/>
          <w:sz w:val="24"/>
          <w:szCs w:val="24"/>
          <w:u w:val="none"/>
          <w:lang w:val="en-US"/>
        </w:rPr>
        <w:t>.</w:t>
      </w:r>
    </w:p>
    <w:p>
      <w:pPr>
        <w:rPr>
          <w:rFonts w:ascii="Calibri" w:hAnsi="Calibri" w:eastAsia="Calibri" w:cs="Calibri"/>
          <w:sz w:val="24"/>
          <w:szCs w:val="24"/>
          <w:lang w:val="en-US"/>
        </w:rPr>
      </w:pPr>
    </w:p>
    <w:p>
      <w:pPr>
        <w:rPr>
          <w:rFonts w:hint="default" w:ascii="Calibri" w:hAnsi="Calibri" w:eastAsia="Calibri" w:cs="Calibri"/>
          <w:sz w:val="24"/>
          <w:szCs w:val="24"/>
          <w:lang w:val="en-US"/>
        </w:rPr>
      </w:pPr>
      <w:r>
        <w:rPr>
          <w:rFonts w:hint="default" w:ascii="Calibri" w:hAnsi="Calibri" w:eastAsia="Calibri" w:cs="Calibri"/>
          <w:b/>
          <w:bCs/>
          <w:sz w:val="32"/>
          <w:szCs w:val="32"/>
          <w:lang w:val="en-US"/>
        </w:rPr>
        <w:t>Conclusion</w:t>
      </w:r>
    </w:p>
    <w:p>
      <w:pPr>
        <w:rPr>
          <w:rFonts w:ascii="Calibri" w:hAnsi="Calibri" w:eastAsia="Calibri" w:cs="Calibri"/>
          <w:sz w:val="22"/>
          <w:szCs w:val="22"/>
          <w:lang w:val="en-US"/>
        </w:rPr>
      </w:pPr>
      <w:r>
        <w:rPr>
          <w:rFonts w:ascii="Calibri" w:hAnsi="Calibri" w:eastAsia="Calibri" w:cs="Calibri"/>
          <w:sz w:val="24"/>
          <w:szCs w:val="24"/>
          <w:lang w:val="en-US"/>
        </w:rPr>
        <w:t>The AIR score had higher specificity, sensitivity, positive predictive value, and lower rate of false positives</w:t>
      </w:r>
      <w:r>
        <w:rPr>
          <w:rFonts w:ascii="Calibri" w:hAnsi="Calibri" w:eastAsia="Calibri" w:cs="Calibri"/>
          <w:sz w:val="22"/>
          <w:szCs w:val="22"/>
          <w:lang w:val="en-US"/>
        </w:rPr>
        <w:t>.</w:t>
      </w:r>
    </w:p>
    <w:p>
      <w:pPr>
        <w:rPr>
          <w:rFonts w:ascii="Calibri" w:hAnsi="Calibri" w:eastAsia="Calibri" w:cs="Calibri"/>
          <w:sz w:val="22"/>
          <w:szCs w:val="22"/>
          <w:lang w:val="en-US"/>
        </w:rPr>
      </w:pPr>
    </w:p>
    <w:p>
      <w:pPr>
        <w:rPr>
          <w:rFonts w:ascii="SimSun" w:hAnsi="SimSun" w:eastAsia="SimSun" w:cs="SimSun"/>
          <w:b/>
          <w:bCs/>
          <w:sz w:val="24"/>
          <w:szCs w:val="24"/>
        </w:rPr>
      </w:pPr>
      <w:r>
        <w:rPr>
          <w:rFonts w:ascii="SimSun" w:hAnsi="SimSun" w:eastAsia="SimSun" w:cs="SimSun"/>
          <w:b/>
          <w:bCs/>
          <w:sz w:val="24"/>
          <w:szCs w:val="24"/>
        </w:rPr>
        <w:t>Biography</w:t>
      </w:r>
    </w:p>
    <w:p>
      <w:pPr>
        <w:rPr>
          <w:rFonts w:hint="default" w:ascii="Calibri" w:hAnsi="Calibri" w:eastAsia="SimSun" w:cs="Calibri"/>
          <w:b w:val="0"/>
          <w:bCs w:val="0"/>
          <w:sz w:val="24"/>
          <w:szCs w:val="24"/>
          <w:lang w:val="en-US"/>
        </w:rPr>
      </w:pPr>
      <w:r>
        <w:rPr>
          <w:rFonts w:hint="default" w:ascii="Calibri" w:hAnsi="Calibri" w:eastAsia="SimSun" w:cs="Calibri"/>
          <w:b w:val="0"/>
          <w:bCs w:val="0"/>
          <w:sz w:val="24"/>
          <w:szCs w:val="24"/>
          <w:lang w:val="en-US"/>
        </w:rPr>
        <w:t>Mohamed Hassan is a General and colorectal Speciality doctor at Maidstone and Tunbridge Wells NHS trust . He is a member and faculty of the royal college of surgeons of England. He trained in Egypt and he has MSc in General Surgery from Ain Shams University 2016.</w:t>
      </w:r>
    </w:p>
    <w:p>
      <w:pPr>
        <w:rPr>
          <w:rFonts w:ascii="Calibri" w:hAnsi="Calibri" w:eastAsia="Calibri" w:cs="Calibri"/>
          <w:sz w:val="22"/>
          <w:szCs w:val="22"/>
          <w:lang w:val="en-US"/>
        </w:rPr>
      </w:pPr>
    </w:p>
    <w:p>
      <w:pPr>
        <w:rPr>
          <w:rFonts w:ascii="Calibri" w:hAnsi="Calibri" w:eastAsia="Calibri" w:cs="Calibri"/>
          <w:sz w:val="22"/>
          <w:szCs w:val="22"/>
          <w:lang w:val="en-US"/>
        </w:rPr>
      </w:pPr>
      <w:bookmarkStart w:id="0" w:name="_GoBack"/>
      <w:bookmarkEnd w:id="0"/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auto"/>
          <w:sz w:val="24"/>
          <w:szCs w:val="24"/>
          <w:u w:val="none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JansonTextLTStd-Roman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33A17"/>
    <w:rsid w:val="1DB3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GB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ibliography"/>
    <w:basedOn w:val="1"/>
    <w:next w:val="1"/>
    <w:unhideWhenUsed/>
    <w:qFormat/>
    <w:uiPriority w:val="37"/>
    <w:pPr>
      <w:tabs>
        <w:tab w:val="left" w:pos="260"/>
        <w:tab w:val="left" w:pos="380"/>
        <w:tab w:val="left" w:pos="500"/>
        <w:tab w:val="left" w:pos="620"/>
      </w:tabs>
      <w:spacing w:after="240"/>
      <w:ind w:left="504" w:hanging="504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2022-03-22T19:29:00Z</dcterms:created>
  <dc:creator>Mohamed Ali Gad</dc:creator>
  <cp:lastModifiedBy>Mohamed Ali Gad</cp:lastModifiedBy>
  <dcterms:modified xsi:type="dcterms:W3CDTF">2022-03-22T19:38:12Z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E72B25246F8C43879F9C915BFB0C09DD</vt:lpwstr>
  </property>
</Properties>
</file>