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175BD" w14:textId="204FB785" w:rsidR="003E2E21" w:rsidRPr="00623020" w:rsidRDefault="00623020">
      <w:r w:rsidRPr="00623020">
        <w:rPr>
          <w:b/>
          <w:bCs/>
          <w:u w:val="single"/>
        </w:rPr>
        <w:t>Title:</w:t>
      </w:r>
      <w:r>
        <w:rPr>
          <w:b/>
          <w:bCs/>
          <w:u w:val="single"/>
        </w:rPr>
        <w:t xml:space="preserve">  </w:t>
      </w:r>
      <w:r w:rsidR="009F4FFA">
        <w:rPr>
          <w:b/>
          <w:bCs/>
          <w:u w:val="single"/>
        </w:rPr>
        <w:t xml:space="preserve"> </w:t>
      </w:r>
      <w:r w:rsidR="009F4FFA" w:rsidRPr="009F4FFA">
        <w:t xml:space="preserve">Nosocomial </w:t>
      </w:r>
      <w:r w:rsidRPr="00623020">
        <w:t>COVID-19</w:t>
      </w:r>
      <w:r w:rsidR="009F4FFA">
        <w:t xml:space="preserve"> Infection</w:t>
      </w:r>
      <w:r w:rsidRPr="00623020">
        <w:t xml:space="preserve"> </w:t>
      </w:r>
      <w:r w:rsidR="009F4FFA">
        <w:t>With</w:t>
      </w:r>
      <w:r w:rsidRPr="00623020">
        <w:t xml:space="preserve">in the </w:t>
      </w:r>
      <w:r w:rsidR="00F252AA">
        <w:t xml:space="preserve">General </w:t>
      </w:r>
      <w:r w:rsidRPr="00623020">
        <w:t xml:space="preserve">Surgical Department </w:t>
      </w:r>
    </w:p>
    <w:p w14:paraId="7C2A9BE4" w14:textId="6ABEF5C2" w:rsidR="00623020" w:rsidRPr="00623020" w:rsidRDefault="00623020">
      <w:pPr>
        <w:rPr>
          <w:b/>
          <w:bCs/>
          <w:u w:val="single"/>
        </w:rPr>
      </w:pPr>
      <w:r w:rsidRPr="00623020">
        <w:rPr>
          <w:b/>
          <w:bCs/>
          <w:u w:val="single"/>
        </w:rPr>
        <w:t>Authors</w:t>
      </w:r>
      <w:r w:rsidRPr="009F4FFA">
        <w:rPr>
          <w:u w:val="single"/>
        </w:rPr>
        <w:t>: S. Obrowski</w:t>
      </w:r>
      <w:r w:rsidRPr="00623020">
        <w:t xml:space="preserve">, G. </w:t>
      </w:r>
      <w:proofErr w:type="spellStart"/>
      <w:r w:rsidRPr="00623020">
        <w:t>Nityandan</w:t>
      </w:r>
      <w:proofErr w:type="spellEnd"/>
      <w:r>
        <w:t>, K. Fox</w:t>
      </w:r>
    </w:p>
    <w:p w14:paraId="4881DCB4" w14:textId="65867588" w:rsidR="00623020" w:rsidRPr="00623020" w:rsidRDefault="00623020">
      <w:pPr>
        <w:rPr>
          <w:b/>
          <w:bCs/>
          <w:u w:val="single"/>
        </w:rPr>
      </w:pPr>
      <w:r w:rsidRPr="00623020">
        <w:rPr>
          <w:b/>
          <w:bCs/>
          <w:u w:val="single"/>
        </w:rPr>
        <w:t>Institution</w:t>
      </w:r>
      <w:r w:rsidRPr="00623020">
        <w:t xml:space="preserve">: </w:t>
      </w:r>
      <w:r w:rsidRPr="00623020">
        <w:t>Mid Cheshire Hospitals NHS Foundation Trust (MCHFT)</w:t>
      </w:r>
    </w:p>
    <w:p w14:paraId="09E8D8BD" w14:textId="77777777" w:rsidR="009F7612" w:rsidRPr="009F7612" w:rsidRDefault="009F7612" w:rsidP="009F7612">
      <w:r w:rsidRPr="009F7612">
        <w:rPr>
          <w:b/>
          <w:bCs/>
        </w:rPr>
        <w:t>Aim/Objectives:</w:t>
      </w:r>
      <w:r w:rsidRPr="009F7612">
        <w:t xml:space="preserve"> This audit aims to shed light on the number of both elective and emergency surgical patients, who possibly contracted COVID-19 infection during their hospital stay in the first wave of the pandemic to show the impact of infection on surgical outcomes.</w:t>
      </w:r>
    </w:p>
    <w:p w14:paraId="44CF75E5" w14:textId="77777777" w:rsidR="009F7612" w:rsidRPr="009F7612" w:rsidRDefault="009F7612" w:rsidP="009F7612">
      <w:r w:rsidRPr="009F7612">
        <w:rPr>
          <w:b/>
          <w:bCs/>
        </w:rPr>
        <w:t>Methods:</w:t>
      </w:r>
      <w:r w:rsidRPr="009F7612">
        <w:t xml:space="preserve"> A retrospective review of all surgical admissions to hospital between 15/03/2020 and 15/05/2020 at MCHFT. Electronic records of all patients who presented for acute, elective and day case were analysed. A review of </w:t>
      </w:r>
      <w:proofErr w:type="gramStart"/>
      <w:r w:rsidRPr="009F7612">
        <w:t>30 day</w:t>
      </w:r>
      <w:proofErr w:type="gramEnd"/>
      <w:r w:rsidRPr="009F7612">
        <w:t xml:space="preserve"> follow-up was conducted for investigative results (imaging &amp; RT-PCR swabs) and mortality.</w:t>
      </w:r>
    </w:p>
    <w:p w14:paraId="65EAA49C" w14:textId="77777777" w:rsidR="009F7612" w:rsidRPr="009F7612" w:rsidRDefault="009F7612" w:rsidP="009F7612">
      <w:r w:rsidRPr="009F7612">
        <w:rPr>
          <w:b/>
          <w:bCs/>
        </w:rPr>
        <w:t>Results:</w:t>
      </w:r>
      <w:r w:rsidRPr="009F7612">
        <w:t xml:space="preserve"> Total n=658 surgical encounters, a 31.7% (n=963) reduction when compared with the same dates from 2019. There was 43.5% total operative reduction from 2019 (n=186, 135 elective &amp; 61 emergency). </w:t>
      </w:r>
    </w:p>
    <w:p w14:paraId="75B9ED61" w14:textId="77777777" w:rsidR="009F7612" w:rsidRPr="009F7612" w:rsidRDefault="009F7612" w:rsidP="009F7612">
      <w:r w:rsidRPr="009F7612">
        <w:t xml:space="preserve">31.2% of inpatient admissions (n=433) underwent RT-PCR swabbing, of which 8 returned positive (1.85%), with CT having a 62.5% sensitivity on COVID-19 rate pick up of those with positive swabs. Relatively low levels of swabbing during this timeframe </w:t>
      </w:r>
      <w:proofErr w:type="gramStart"/>
      <w:r w:rsidRPr="009F7612">
        <w:t>was</w:t>
      </w:r>
      <w:proofErr w:type="gramEnd"/>
      <w:r w:rsidRPr="009F7612">
        <w:t xml:space="preserve"> in view of patients only undergoing them when they were symptomatically suspected. </w:t>
      </w:r>
    </w:p>
    <w:p w14:paraId="78D493FA" w14:textId="77777777" w:rsidR="009F7612" w:rsidRPr="009F7612" w:rsidRDefault="009F7612" w:rsidP="009F7612">
      <w:r w:rsidRPr="009F7612">
        <w:t>Of 8 patients who contracted COVID-19 (positive swab), 5 died and 3 survived. One patient was readmitted with COVID-19 within 48hrs of discharge and died because the virus. Overall, suspected nosocomial transmission was 5 patients (RT-PCR sample positive &gt;48hrs after admission, with no compatible symptoms at the time of admission taken as nosocomial).</w:t>
      </w:r>
    </w:p>
    <w:p w14:paraId="0E3DD3D6" w14:textId="77777777" w:rsidR="009F7612" w:rsidRPr="009F7612" w:rsidRDefault="009F7612" w:rsidP="009F7612">
      <w:r w:rsidRPr="009F7612">
        <w:t xml:space="preserve">All CT scans (n=178) of abdomen &amp; pelvis at this stage of the pandemic included full chest or base of lungs, as per hospital policy. 9 scans reported as possible to confirm COVID-19 infection. Of these 9 scans however, 5 had positive swabs (sensitivity 62.5%), 3 had negative swabs and 1 had no swab follow up. </w:t>
      </w:r>
    </w:p>
    <w:p w14:paraId="74F46F83" w14:textId="77777777" w:rsidR="009F7612" w:rsidRPr="009F7612" w:rsidRDefault="009F7612" w:rsidP="009F7612">
      <w:r w:rsidRPr="009F7612">
        <w:t>Mortality rates of a positive COVID-19 surgical patient were 66.7% (n=5). However, this group had an average age 75.2 years and suffered with 1 or more medical comorbidities.</w:t>
      </w:r>
    </w:p>
    <w:p w14:paraId="6066EC53" w14:textId="77777777" w:rsidR="009F7612" w:rsidRPr="009F7612" w:rsidRDefault="009F7612" w:rsidP="009F7612">
      <w:r w:rsidRPr="009F7612">
        <w:rPr>
          <w:b/>
          <w:bCs/>
        </w:rPr>
        <w:t>Discussion:</w:t>
      </w:r>
      <w:r w:rsidRPr="009F7612">
        <w:t xml:space="preserve"> This review highlights vastly reduced admission numbers (31.7% reduction) and operations (43.5% reduction). Incidence (1.85%) and intrahospital transmission (1.15%) of COVID-19 with those admitted to surgical department was extremely low (a study from GI surgical patients in France, showed a 4.9% showed nosocomial transmission from 301 hospitalised patients). However, the overall number of swabs completed was only 31.2% of the admitted cohort. This was due to the fact, that at the start of the pandemic, there were no routine/repeat testing for patients during admission. </w:t>
      </w:r>
    </w:p>
    <w:p w14:paraId="6785102E" w14:textId="77777777" w:rsidR="009F7612" w:rsidRPr="009F7612" w:rsidRDefault="009F7612" w:rsidP="009F7612">
      <w:r w:rsidRPr="009F7612">
        <w:t xml:space="preserve">Tests done during this timeframe, were based on suspicious symptoms or radiological features. CT played a limited role with our demographic. </w:t>
      </w:r>
    </w:p>
    <w:p w14:paraId="76CAA15B" w14:textId="77777777" w:rsidR="009F7612" w:rsidRPr="009F7612" w:rsidRDefault="009F7612" w:rsidP="009F7612">
      <w:r w:rsidRPr="009F7612">
        <w:t xml:space="preserve">Aspects which may skew the </w:t>
      </w:r>
      <w:proofErr w:type="gramStart"/>
      <w:r w:rsidRPr="009F7612">
        <w:t>data</w:t>
      </w:r>
      <w:proofErr w:type="gramEnd"/>
      <w:r w:rsidRPr="009F7612">
        <w:t xml:space="preserve"> however, include that a vast majority of patients may have been asymptomatic and thus not received a swab. </w:t>
      </w:r>
    </w:p>
    <w:p w14:paraId="569D086F" w14:textId="77777777" w:rsidR="009F7612" w:rsidRPr="009F7612" w:rsidRDefault="009F7612" w:rsidP="009F7612"/>
    <w:p w14:paraId="61596536" w14:textId="77777777" w:rsidR="009F7612" w:rsidRPr="009F7612" w:rsidRDefault="009F7612" w:rsidP="009F7612">
      <w:pPr>
        <w:rPr>
          <w:b/>
          <w:bCs/>
        </w:rPr>
      </w:pPr>
      <w:r w:rsidRPr="009F7612">
        <w:rPr>
          <w:b/>
          <w:bCs/>
        </w:rPr>
        <w:t xml:space="preserve">Conclusions: </w:t>
      </w:r>
    </w:p>
    <w:p w14:paraId="3D8CAF1F" w14:textId="77777777" w:rsidR="009F7612" w:rsidRPr="009F7612" w:rsidRDefault="009F7612" w:rsidP="009F7612">
      <w:r w:rsidRPr="009F7612">
        <w:lastRenderedPageBreak/>
        <w:t xml:space="preserve">Results show relatively low rates throughout both groups. This would suggest precautionary measures were adequate for the numbers of patients. However, decrease in operations leads to a bias in this regard. Patients are now allocated to wards based on infection incidence, which was applied later during the initial pandemic wave. All elective admissions are now swabbed and asked to isolate before admission. </w:t>
      </w:r>
    </w:p>
    <w:p w14:paraId="5926FE52" w14:textId="77777777" w:rsidR="009F7612" w:rsidRPr="009F7612" w:rsidRDefault="009F7612" w:rsidP="009F7612">
      <w:r w:rsidRPr="009F7612">
        <w:t xml:space="preserve">The swabbing and isolating for elective surgical patients </w:t>
      </w:r>
      <w:proofErr w:type="gramStart"/>
      <w:r w:rsidRPr="009F7612">
        <w:t>remains</w:t>
      </w:r>
      <w:proofErr w:type="gramEnd"/>
      <w:r w:rsidRPr="009F7612">
        <w:t xml:space="preserve"> the gold standard at this stage. </w:t>
      </w:r>
    </w:p>
    <w:p w14:paraId="47F76342" w14:textId="77777777" w:rsidR="009F7612" w:rsidRPr="009F7612" w:rsidRDefault="009F7612" w:rsidP="009F7612">
      <w:r w:rsidRPr="009F7612">
        <w:t xml:space="preserve">We can say that during the first peak of COVID-19, that the incidence and nosocomial transmission was less than 2%. High risk patients (over 75yr, multiple co-morbidities and frail) need to be fully aware that if COVID-19 is contracted concurrently to surgery/admission, a profound risk to life is a possibility. </w:t>
      </w:r>
    </w:p>
    <w:p w14:paraId="56CE446A" w14:textId="78A7C226" w:rsidR="004545DB" w:rsidRPr="009F7612" w:rsidRDefault="009F7612" w:rsidP="009F7612">
      <w:r w:rsidRPr="009F7612">
        <w:t>Learning from this audit: prompt data analysis and simple goal posts in which to cross examine timepoints during the prolonged pandemic period should be done prospectively and should be discussed at interdepartmental meetings.</w:t>
      </w:r>
    </w:p>
    <w:p w14:paraId="66FE1C75" w14:textId="71C25371" w:rsidR="004545DB" w:rsidRDefault="004545DB" w:rsidP="009F4FFA">
      <w:pPr>
        <w:rPr>
          <w:b/>
          <w:bCs/>
          <w:u w:val="single"/>
        </w:rPr>
      </w:pPr>
      <w:r>
        <w:rPr>
          <w:b/>
          <w:bCs/>
          <w:u w:val="single"/>
        </w:rPr>
        <w:t>References:</w:t>
      </w:r>
    </w:p>
    <w:p w14:paraId="4A23657B" w14:textId="77777777" w:rsidR="004545DB" w:rsidRPr="004545DB" w:rsidRDefault="004545DB" w:rsidP="004545DB">
      <w:pPr>
        <w:numPr>
          <w:ilvl w:val="0"/>
          <w:numId w:val="1"/>
        </w:numPr>
        <w:rPr>
          <w:b/>
          <w:bCs/>
          <w:u w:val="single"/>
        </w:rPr>
      </w:pPr>
      <w:r w:rsidRPr="004545DB">
        <w:rPr>
          <w:b/>
          <w:bCs/>
          <w:u w:val="single"/>
        </w:rPr>
        <w:t xml:space="preserve">Callan et. al. (August 2020) </w:t>
      </w:r>
      <w:r w:rsidRPr="004545DB">
        <w:rPr>
          <w:b/>
          <w:bCs/>
          <w:i/>
          <w:iCs/>
          <w:u w:val="single"/>
        </w:rPr>
        <w:t xml:space="preserve">Impact of the COVID-19 Pandemic on Acute General Surgical Admissions in a District General Hospital in the United Kingdom: A Retrospective Cohort Study </w:t>
      </w:r>
      <w:r w:rsidRPr="004545DB">
        <w:rPr>
          <w:b/>
          <w:bCs/>
          <w:u w:val="single"/>
        </w:rPr>
        <w:t>(</w:t>
      </w:r>
      <w:hyperlink r:id="rId5" w:history="1">
        <w:r w:rsidRPr="004545DB">
          <w:rPr>
            <w:rStyle w:val="Hyperlink"/>
            <w:b/>
            <w:bCs/>
          </w:rPr>
          <w:t>https://www.hindawi.com/journals/srp/2020/2975089/</w:t>
        </w:r>
      </w:hyperlink>
      <w:r w:rsidRPr="004545DB">
        <w:rPr>
          <w:b/>
          <w:bCs/>
          <w:u w:val="single"/>
        </w:rPr>
        <w:t>)</w:t>
      </w:r>
    </w:p>
    <w:p w14:paraId="4AF8F63A" w14:textId="77777777" w:rsidR="004545DB" w:rsidRPr="004545DB" w:rsidRDefault="004545DB" w:rsidP="004545DB">
      <w:pPr>
        <w:numPr>
          <w:ilvl w:val="0"/>
          <w:numId w:val="1"/>
        </w:numPr>
        <w:rPr>
          <w:b/>
          <w:bCs/>
          <w:u w:val="single"/>
        </w:rPr>
      </w:pPr>
      <w:r w:rsidRPr="004545DB">
        <w:rPr>
          <w:b/>
          <w:bCs/>
          <w:u w:val="single"/>
        </w:rPr>
        <w:t xml:space="preserve">Luong-Nguyen et. al. (June 2020) </w:t>
      </w:r>
      <w:r w:rsidRPr="004545DB">
        <w:rPr>
          <w:b/>
          <w:bCs/>
          <w:i/>
          <w:iCs/>
          <w:u w:val="single"/>
        </w:rPr>
        <w:t xml:space="preserve">Nosocomial infection with SARS-Cov-2 within Departments of Digestive Surgery </w:t>
      </w:r>
      <w:r w:rsidRPr="004545DB">
        <w:rPr>
          <w:b/>
          <w:bCs/>
          <w:u w:val="single"/>
        </w:rPr>
        <w:t>(</w:t>
      </w:r>
      <w:hyperlink r:id="rId6" w:history="1">
        <w:r w:rsidRPr="004545DB">
          <w:rPr>
            <w:rStyle w:val="Hyperlink"/>
            <w:b/>
            <w:bCs/>
          </w:rPr>
          <w:t>https://www.ncbi.nlm.nih.gov/pmc/articles/PMC7183971/</w:t>
        </w:r>
      </w:hyperlink>
      <w:r w:rsidRPr="004545DB">
        <w:rPr>
          <w:b/>
          <w:bCs/>
          <w:u w:val="single"/>
        </w:rPr>
        <w:t>)</w:t>
      </w:r>
    </w:p>
    <w:p w14:paraId="4C0AE10B" w14:textId="77777777" w:rsidR="004545DB" w:rsidRPr="004545DB" w:rsidRDefault="004545DB" w:rsidP="004545DB">
      <w:pPr>
        <w:numPr>
          <w:ilvl w:val="0"/>
          <w:numId w:val="1"/>
        </w:numPr>
        <w:rPr>
          <w:b/>
          <w:bCs/>
          <w:u w:val="single"/>
        </w:rPr>
      </w:pPr>
      <w:r w:rsidRPr="004545DB">
        <w:rPr>
          <w:b/>
          <w:bCs/>
          <w:u w:val="single"/>
        </w:rPr>
        <w:t xml:space="preserve">Meng et. al. (May 2020) </w:t>
      </w:r>
      <w:r w:rsidRPr="004545DB">
        <w:rPr>
          <w:b/>
          <w:bCs/>
          <w:i/>
          <w:iCs/>
          <w:u w:val="single"/>
        </w:rPr>
        <w:t xml:space="preserve">Chest computed tomography for the diagnosis of patients with coronavirus disease 2019 (COVID-19): a rapid review and meta-analysis </w:t>
      </w:r>
      <w:r w:rsidRPr="004545DB">
        <w:rPr>
          <w:b/>
          <w:bCs/>
          <w:u w:val="single"/>
        </w:rPr>
        <w:t>(</w:t>
      </w:r>
      <w:hyperlink r:id="rId7" w:history="1">
        <w:r w:rsidRPr="004545DB">
          <w:rPr>
            <w:rStyle w:val="Hyperlink"/>
            <w:b/>
            <w:bCs/>
          </w:rPr>
          <w:t>https://www.ncbi.nlm.nih.gov/pmc/articles/PMC7290647/</w:t>
        </w:r>
      </w:hyperlink>
      <w:r w:rsidRPr="004545DB">
        <w:rPr>
          <w:b/>
          <w:bCs/>
          <w:u w:val="single"/>
        </w:rPr>
        <w:t>)</w:t>
      </w:r>
    </w:p>
    <w:p w14:paraId="586831E5" w14:textId="77777777" w:rsidR="004545DB" w:rsidRPr="004545DB" w:rsidRDefault="004545DB" w:rsidP="004545DB">
      <w:pPr>
        <w:numPr>
          <w:ilvl w:val="0"/>
          <w:numId w:val="1"/>
        </w:numPr>
        <w:rPr>
          <w:b/>
          <w:bCs/>
          <w:u w:val="single"/>
        </w:rPr>
      </w:pPr>
      <w:r w:rsidRPr="004545DB">
        <w:rPr>
          <w:b/>
          <w:bCs/>
          <w:u w:val="single"/>
        </w:rPr>
        <w:t xml:space="preserve">Taylor et. al. (August 2020) </w:t>
      </w:r>
      <w:r w:rsidRPr="004545DB">
        <w:rPr>
          <w:b/>
          <w:bCs/>
          <w:i/>
          <w:iCs/>
          <w:u w:val="single"/>
        </w:rPr>
        <w:t xml:space="preserve">Nosocomial COVID-19: experience from a large acute NHS Trust in South-West London </w:t>
      </w:r>
      <w:r w:rsidRPr="004545DB">
        <w:rPr>
          <w:b/>
          <w:bCs/>
          <w:u w:val="single"/>
        </w:rPr>
        <w:t>(</w:t>
      </w:r>
      <w:hyperlink r:id="rId8" w:history="1">
        <w:r w:rsidRPr="004545DB">
          <w:rPr>
            <w:rStyle w:val="Hyperlink"/>
            <w:b/>
            <w:bCs/>
          </w:rPr>
          <w:t>https://www.journalofhospitalinfection.com/action/showPdf?pii=S0195-6701%2820%2930405-9</w:t>
        </w:r>
      </w:hyperlink>
      <w:r w:rsidRPr="004545DB">
        <w:rPr>
          <w:b/>
          <w:bCs/>
          <w:u w:val="single"/>
        </w:rPr>
        <w:t>)</w:t>
      </w:r>
    </w:p>
    <w:p w14:paraId="4707F895" w14:textId="77777777" w:rsidR="004545DB" w:rsidRPr="004545DB" w:rsidRDefault="004545DB" w:rsidP="009F4FFA">
      <w:pPr>
        <w:rPr>
          <w:b/>
          <w:bCs/>
          <w:u w:val="single"/>
        </w:rPr>
      </w:pPr>
    </w:p>
    <w:sectPr w:rsidR="004545DB" w:rsidRPr="004545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852201"/>
    <w:multiLevelType w:val="hybridMultilevel"/>
    <w:tmpl w:val="739EDB86"/>
    <w:lvl w:ilvl="0" w:tplc="299A47B8">
      <w:start w:val="1"/>
      <w:numFmt w:val="decimal"/>
      <w:lvlText w:val="%1."/>
      <w:lvlJc w:val="left"/>
      <w:pPr>
        <w:tabs>
          <w:tab w:val="num" w:pos="720"/>
        </w:tabs>
        <w:ind w:left="720" w:hanging="360"/>
      </w:pPr>
    </w:lvl>
    <w:lvl w:ilvl="1" w:tplc="D26290C0" w:tentative="1">
      <w:start w:val="1"/>
      <w:numFmt w:val="decimal"/>
      <w:lvlText w:val="%2."/>
      <w:lvlJc w:val="left"/>
      <w:pPr>
        <w:tabs>
          <w:tab w:val="num" w:pos="1440"/>
        </w:tabs>
        <w:ind w:left="1440" w:hanging="360"/>
      </w:pPr>
    </w:lvl>
    <w:lvl w:ilvl="2" w:tplc="7DBAB29C" w:tentative="1">
      <w:start w:val="1"/>
      <w:numFmt w:val="decimal"/>
      <w:lvlText w:val="%3."/>
      <w:lvlJc w:val="left"/>
      <w:pPr>
        <w:tabs>
          <w:tab w:val="num" w:pos="2160"/>
        </w:tabs>
        <w:ind w:left="2160" w:hanging="360"/>
      </w:pPr>
    </w:lvl>
    <w:lvl w:ilvl="3" w:tplc="7F52F296" w:tentative="1">
      <w:start w:val="1"/>
      <w:numFmt w:val="decimal"/>
      <w:lvlText w:val="%4."/>
      <w:lvlJc w:val="left"/>
      <w:pPr>
        <w:tabs>
          <w:tab w:val="num" w:pos="2880"/>
        </w:tabs>
        <w:ind w:left="2880" w:hanging="360"/>
      </w:pPr>
    </w:lvl>
    <w:lvl w:ilvl="4" w:tplc="043243D0" w:tentative="1">
      <w:start w:val="1"/>
      <w:numFmt w:val="decimal"/>
      <w:lvlText w:val="%5."/>
      <w:lvlJc w:val="left"/>
      <w:pPr>
        <w:tabs>
          <w:tab w:val="num" w:pos="3600"/>
        </w:tabs>
        <w:ind w:left="3600" w:hanging="360"/>
      </w:pPr>
    </w:lvl>
    <w:lvl w:ilvl="5" w:tplc="D2BE78FC" w:tentative="1">
      <w:start w:val="1"/>
      <w:numFmt w:val="decimal"/>
      <w:lvlText w:val="%6."/>
      <w:lvlJc w:val="left"/>
      <w:pPr>
        <w:tabs>
          <w:tab w:val="num" w:pos="4320"/>
        </w:tabs>
        <w:ind w:left="4320" w:hanging="360"/>
      </w:pPr>
    </w:lvl>
    <w:lvl w:ilvl="6" w:tplc="BE122FC8" w:tentative="1">
      <w:start w:val="1"/>
      <w:numFmt w:val="decimal"/>
      <w:lvlText w:val="%7."/>
      <w:lvlJc w:val="left"/>
      <w:pPr>
        <w:tabs>
          <w:tab w:val="num" w:pos="5040"/>
        </w:tabs>
        <w:ind w:left="5040" w:hanging="360"/>
      </w:pPr>
    </w:lvl>
    <w:lvl w:ilvl="7" w:tplc="991077DE" w:tentative="1">
      <w:start w:val="1"/>
      <w:numFmt w:val="decimal"/>
      <w:lvlText w:val="%8."/>
      <w:lvlJc w:val="left"/>
      <w:pPr>
        <w:tabs>
          <w:tab w:val="num" w:pos="5760"/>
        </w:tabs>
        <w:ind w:left="5760" w:hanging="360"/>
      </w:pPr>
    </w:lvl>
    <w:lvl w:ilvl="8" w:tplc="F0BE38FA"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20"/>
    <w:rsid w:val="001424B3"/>
    <w:rsid w:val="001A5841"/>
    <w:rsid w:val="003E2E21"/>
    <w:rsid w:val="004545DB"/>
    <w:rsid w:val="00623020"/>
    <w:rsid w:val="009F4FFA"/>
    <w:rsid w:val="009F7612"/>
    <w:rsid w:val="00F25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3D815"/>
  <w15:chartTrackingRefBased/>
  <w15:docId w15:val="{88EC6AA8-29CC-40E4-A479-1D3E2115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45DB"/>
    <w:rPr>
      <w:color w:val="0563C1" w:themeColor="hyperlink"/>
      <w:u w:val="single"/>
    </w:rPr>
  </w:style>
  <w:style w:type="character" w:styleId="UnresolvedMention">
    <w:name w:val="Unresolved Mention"/>
    <w:basedOn w:val="DefaultParagraphFont"/>
    <w:uiPriority w:val="99"/>
    <w:semiHidden/>
    <w:unhideWhenUsed/>
    <w:rsid w:val="00454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988014">
      <w:bodyDiv w:val="1"/>
      <w:marLeft w:val="0"/>
      <w:marRight w:val="0"/>
      <w:marTop w:val="0"/>
      <w:marBottom w:val="0"/>
      <w:divBdr>
        <w:top w:val="none" w:sz="0" w:space="0" w:color="auto"/>
        <w:left w:val="none" w:sz="0" w:space="0" w:color="auto"/>
        <w:bottom w:val="none" w:sz="0" w:space="0" w:color="auto"/>
        <w:right w:val="none" w:sz="0" w:space="0" w:color="auto"/>
      </w:divBdr>
      <w:divsChild>
        <w:div w:id="1904942752">
          <w:marLeft w:val="547"/>
          <w:marRight w:val="0"/>
          <w:marTop w:val="0"/>
          <w:marBottom w:val="0"/>
          <w:divBdr>
            <w:top w:val="none" w:sz="0" w:space="0" w:color="auto"/>
            <w:left w:val="none" w:sz="0" w:space="0" w:color="auto"/>
            <w:bottom w:val="none" w:sz="0" w:space="0" w:color="auto"/>
            <w:right w:val="none" w:sz="0" w:space="0" w:color="auto"/>
          </w:divBdr>
        </w:div>
        <w:div w:id="808790933">
          <w:marLeft w:val="547"/>
          <w:marRight w:val="0"/>
          <w:marTop w:val="0"/>
          <w:marBottom w:val="0"/>
          <w:divBdr>
            <w:top w:val="none" w:sz="0" w:space="0" w:color="auto"/>
            <w:left w:val="none" w:sz="0" w:space="0" w:color="auto"/>
            <w:bottom w:val="none" w:sz="0" w:space="0" w:color="auto"/>
            <w:right w:val="none" w:sz="0" w:space="0" w:color="auto"/>
          </w:divBdr>
        </w:div>
        <w:div w:id="511380079">
          <w:marLeft w:val="547"/>
          <w:marRight w:val="0"/>
          <w:marTop w:val="0"/>
          <w:marBottom w:val="0"/>
          <w:divBdr>
            <w:top w:val="none" w:sz="0" w:space="0" w:color="auto"/>
            <w:left w:val="none" w:sz="0" w:space="0" w:color="auto"/>
            <w:bottom w:val="none" w:sz="0" w:space="0" w:color="auto"/>
            <w:right w:val="none" w:sz="0" w:space="0" w:color="auto"/>
          </w:divBdr>
        </w:div>
        <w:div w:id="201873284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urnalofhospitalinfection.com/action/showPdf?pii=S0195-6701%2820%2930405-9" TargetMode="External"/><Relationship Id="rId3" Type="http://schemas.openxmlformats.org/officeDocument/2006/relationships/settings" Target="settings.xml"/><Relationship Id="rId7" Type="http://schemas.openxmlformats.org/officeDocument/2006/relationships/hyperlink" Target="https://www.ncbi.nlm.nih.gov/pmc/articles/PMC72906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7183971/" TargetMode="External"/><Relationship Id="rId5" Type="http://schemas.openxmlformats.org/officeDocument/2006/relationships/hyperlink" Target="https://www.hindawi.com/journals/srp/2020/297508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Alder Hey Children's NHS Foundation Trust</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Obrowski Stephanie</dc:creator>
  <cp:keywords/>
  <dc:description/>
  <cp:lastModifiedBy>Obrowski Stephanie</cp:lastModifiedBy>
  <cp:revision>3</cp:revision>
  <dcterms:created xsi:type="dcterms:W3CDTF">2022-03-03T09:42:00Z</dcterms:created>
  <dcterms:modified xsi:type="dcterms:W3CDTF">2022-03-03T10:28:00Z</dcterms:modified>
</cp:coreProperties>
</file>