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2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0"/>
          <w:szCs w:val="30"/>
          <w:u w:val="none" w:color="000000"/>
          <w:vertAlign w:val="baseline"/>
          <w:rtl w:val="0"/>
          <w:lang w:val="en-US"/>
        </w:rPr>
      </w:pPr>
      <w:r>
        <w:rPr>
          <w:rStyle w:val="None"/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0"/>
          <w:szCs w:val="30"/>
          <w:u w:val="none" w:color="000000"/>
          <w:vertAlign w:val="baseline"/>
          <w:rtl w:val="0"/>
          <w:lang w:val="en-US"/>
        </w:rPr>
        <w:t>Use of percutaneous cholecystostomy for complicated acute lithiasic cholecystitis: solving or  deferring the problem?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Adnan Malik, University Hospital Coventry and Warwickshire, England</w:t>
      </w:r>
    </w:p>
    <w:p>
      <w:pPr>
        <w:pStyle w:val="Normal.0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Heading 3"/>
        <w:spacing w:before="147"/>
        <w:jc w:val="both"/>
        <w:rPr>
          <w:rStyle w:val="None"/>
          <w:color w:val="bf5a14"/>
          <w:u w:color="bf5a14"/>
        </w:rPr>
      </w:pPr>
      <w:r>
        <w:rPr>
          <w:rStyle w:val="None"/>
          <w:color w:val="bf5a14"/>
          <w:u w:color="bf5a14"/>
          <w:rtl w:val="0"/>
          <w:lang w:val="en-US"/>
        </w:rPr>
        <w:t>Abstract (</w:t>
      </w:r>
      <w:r>
        <w:rPr>
          <w:rStyle w:val="None"/>
          <w:color w:val="bf5a14"/>
          <w:u w:color="bf5a14"/>
          <w:rtl w:val="0"/>
          <w:lang w:val="en-US"/>
        </w:rPr>
        <w:t>200</w:t>
      </w:r>
      <w:r>
        <w:rPr>
          <w:rStyle w:val="None"/>
          <w:color w:val="bf5a14"/>
          <w:u w:color="bf5a14"/>
          <w:rtl w:val="0"/>
          <w:lang w:val="en-US"/>
        </w:rPr>
        <w:t xml:space="preserve"> word)</w:t>
      </w:r>
    </w:p>
    <w:p>
      <w:pPr>
        <w:pStyle w:val="Heading 3"/>
        <w:spacing w:before="147"/>
        <w:jc w:val="both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Aim: To assess the short and long-term outcomes of patients who had percutaneous cholecystostomy insertion due to severe lithiasic cholecystitis, aiming to define areas for improvement.</w:t>
      </w:r>
    </w:p>
    <w:p>
      <w:pPr>
        <w:pStyle w:val="Heading 3"/>
        <w:spacing w:before="147"/>
        <w:jc w:val="both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 xml:space="preserve">Methods: Retrospective review of our institutional practice including all patients who had a percutaneous cholecystostomy for complex lithiasic cholecystitis, over a 5-year period, allowing for an additional 1-year follow up. </w:t>
      </w:r>
    </w:p>
    <w:p>
      <w:pPr>
        <w:pStyle w:val="Heading 3"/>
        <w:spacing w:before="147"/>
        <w:jc w:val="both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Results: A total of 34 patients were included. Percutaneous cholecystostomy insertion enabled quick and efficient control of the source of biliary sepsis without major procedural complications in all cases. In 14 (41.2%) patients, cholecystostomy alone served as definitive treatment, while in 20 (58.9%) cases it was used as bridging strategy for delayed elective cholecystectomy. In the delayed cholecystectomy group of patients, we noted a high conversion rate from laparoscopic to open surgery rate of 70%, with an overall subtotal cholecystectomy rate of 60%.</w:t>
      </w:r>
    </w:p>
    <w:p>
      <w:pPr>
        <w:pStyle w:val="Heading 3"/>
        <w:spacing w:before="147"/>
        <w:jc w:val="both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Conclusion: Percutaneous cholecystostomies should be reserved only for complex lithiasic cholecystitis patients who are unwilling and/or unfit for surgery. We advocate the performance of upfront emergency cholecystectomy in any other case with liberal use of operative bail-out strategies, as a delayed elective operation is anyway likely to be converted to open and/or subtotal cholecystectomy.</w:t>
      </w:r>
    </w:p>
    <w:p>
      <w:pPr>
        <w:pStyle w:val="Heading 3"/>
        <w:spacing w:before="147"/>
        <w:jc w:val="both"/>
        <w:rPr>
          <w:rStyle w:val="None"/>
          <w:b w:val="0"/>
          <w:bCs w:val="0"/>
          <w:color w:val="bf5a14"/>
          <w:u w:color="bf5a14"/>
        </w:rPr>
      </w:pPr>
    </w:p>
    <w:p>
      <w:pPr>
        <w:pStyle w:val="Normal.0"/>
        <w:spacing w:line="204" w:lineRule="exact"/>
        <w:rPr>
          <w:rStyle w:val="None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None"/>
          <w:rFonts w:ascii="Arial" w:cs="Arial" w:hAnsi="Arial" w:eastAsia="Arial"/>
          <w:b w:val="1"/>
          <w:bCs w:val="1"/>
          <w:color w:val="bf5a14"/>
          <w:sz w:val="20"/>
          <w:szCs w:val="20"/>
          <w:u w:color="bf5a14"/>
        </w:rPr>
        <w:br w:type="textWrapping"/>
      </w:r>
      <w:r>
        <w:rPr>
          <w:rStyle w:val="None"/>
          <w:rFonts w:ascii="Arial" w:hAnsi="Arial"/>
          <w:b w:val="1"/>
          <w:bCs w:val="1"/>
          <w:color w:val="bf5a14"/>
          <w:sz w:val="20"/>
          <w:szCs w:val="20"/>
          <w:u w:color="bf5a14"/>
          <w:rtl w:val="0"/>
          <w:lang w:val="en-US"/>
        </w:rPr>
        <w:t>Recent Publications (minimum 5)</w:t>
      </w: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0"/>
          <w:bCs w:val="0"/>
          <w:sz w:val="18"/>
          <w:szCs w:val="18"/>
          <w:lang w:val="en-US"/>
        </w:rPr>
      </w:pPr>
      <w:r>
        <w:rPr>
          <w:rFonts w:ascii="Calibri" w:cs="Calibri" w:hAnsi="Calibri" w:eastAsia="Calibri"/>
          <w:b w:val="1"/>
          <w:bCs w:val="1"/>
          <w:sz w:val="18"/>
          <w:szCs w:val="18"/>
          <w:rtl w:val="0"/>
          <w:lang w:val="en-US"/>
        </w:rPr>
        <w:t xml:space="preserve">Malik A et al.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Single-centre experience of emergency hernia surgery during COVID-19 pandemic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.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Med Glas (Zenica)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2021 Aug 1;18(2):463-467</w:t>
      </w:r>
    </w:p>
    <w:p>
      <w:pPr>
        <w:pStyle w:val="Normal.0"/>
        <w:tabs>
          <w:tab w:val="left" w:pos="384"/>
        </w:tabs>
        <w:ind w:right="117"/>
        <w:rPr>
          <w:rStyle w:val="None"/>
          <w:rFonts w:ascii="Arial" w:cs="Arial" w:hAnsi="Arial" w:eastAsia="Arial"/>
          <w:b w:val="1"/>
          <w:bCs w:val="1"/>
          <w:sz w:val="20"/>
          <w:szCs w:val="20"/>
          <w:lang w:val="en-US"/>
        </w:rPr>
      </w:pP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0"/>
          <w:bCs w:val="0"/>
          <w:sz w:val="18"/>
          <w:szCs w:val="18"/>
          <w:lang w:val="en-US"/>
        </w:rPr>
      </w:pPr>
      <w:r>
        <w:rPr>
          <w:rFonts w:ascii="Calibri" w:cs="Calibri" w:hAnsi="Calibri" w:eastAsia="Calibri"/>
          <w:b w:val="1"/>
          <w:bCs w:val="1"/>
          <w:sz w:val="18"/>
          <w:szCs w:val="18"/>
          <w:rtl w:val="0"/>
          <w:lang w:val="en-US"/>
        </w:rPr>
        <w:t xml:space="preserve">Malik A et al.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A man with suprapubic and scrotal ecchymosis.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J Am Coll Emerg Physicians Open. 2021 May 1;2(3):e12431.</w:t>
      </w:r>
    </w:p>
    <w:p>
      <w:pPr>
        <w:pStyle w:val="Normal.0"/>
        <w:tabs>
          <w:tab w:val="left" w:pos="384"/>
        </w:tabs>
        <w:ind w:right="117"/>
        <w:rPr>
          <w:rFonts w:ascii="Calibri" w:cs="Calibri" w:hAnsi="Calibri" w:eastAsia="Calibri"/>
          <w:sz w:val="18"/>
          <w:szCs w:val="18"/>
          <w:lang w:val="en-US"/>
        </w:rPr>
      </w:pP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0"/>
          <w:bCs w:val="0"/>
          <w:sz w:val="18"/>
          <w:szCs w:val="18"/>
          <w:lang w:val="en-US"/>
        </w:rPr>
      </w:pPr>
      <w:r>
        <w:rPr>
          <w:rFonts w:ascii="Calibri" w:cs="Calibri" w:hAnsi="Calibri" w:eastAsia="Calibri"/>
          <w:b w:val="1"/>
          <w:bCs w:val="1"/>
          <w:sz w:val="18"/>
          <w:szCs w:val="18"/>
          <w:rtl w:val="0"/>
          <w:lang w:val="en-US"/>
        </w:rPr>
        <w:t xml:space="preserve">Seretis C, Malik A et al.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Perioperative Intraperitoneal Chemotherapy for Peritoneal Surface Malignancies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.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J Clin Med Res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2020 Dec;12(12):773-779</w:t>
      </w: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1"/>
          <w:bCs w:val="1"/>
          <w:sz w:val="18"/>
          <w:szCs w:val="18"/>
          <w:lang w:val="en-US"/>
        </w:rPr>
      </w:pPr>
    </w:p>
    <w:p>
      <w:pPr>
        <w:pStyle w:val="Normal.0"/>
        <w:tabs>
          <w:tab w:val="left" w:pos="384"/>
        </w:tabs>
        <w:ind w:right="117"/>
        <w:rPr>
          <w:rFonts w:ascii="Calibri" w:cs="Calibri" w:hAnsi="Calibri" w:eastAsia="Calibri"/>
          <w:sz w:val="18"/>
          <w:szCs w:val="18"/>
          <w:lang w:val="en-US"/>
        </w:rPr>
      </w:pPr>
      <w:r>
        <w:rPr>
          <w:rStyle w:val="None"/>
          <w:rFonts w:ascii="Calibri" w:cs="Calibri" w:hAnsi="Calibri" w:eastAsia="Calibri"/>
          <w:b w:val="1"/>
          <w:bCs w:val="1"/>
          <w:sz w:val="18"/>
          <w:szCs w:val="18"/>
          <w:rtl w:val="0"/>
          <w:lang w:val="en-US"/>
        </w:rPr>
        <w:t>Malik A et al.</w:t>
      </w:r>
      <w:r>
        <w:rPr>
          <w:rStyle w:val="None"/>
          <w:rFonts w:ascii="Calibri" w:cs="Calibri" w:hAnsi="Calibri" w:eastAsia="Calibri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sz w:val="18"/>
          <w:szCs w:val="18"/>
          <w:rtl w:val="0"/>
          <w:lang w:val="en-US"/>
        </w:rPr>
        <w:t>An elderly woman with intermittent and progressive abdominal pain.</w:t>
      </w:r>
      <w:r>
        <w:rPr>
          <w:rStyle w:val="None"/>
          <w:rFonts w:ascii="Calibri" w:cs="Calibri" w:hAnsi="Calibri" w:eastAsia="Calibri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sz w:val="18"/>
          <w:szCs w:val="18"/>
          <w:rtl w:val="0"/>
          <w:lang w:val="en-US"/>
        </w:rPr>
        <w:t>J Am Coll Emerg Physicians Open. 2021 Jul 31;2(4):e12504.</w:t>
      </w: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0"/>
          <w:bCs w:val="0"/>
          <w:sz w:val="18"/>
          <w:szCs w:val="18"/>
          <w:lang w:val="en-US"/>
        </w:rPr>
      </w:pPr>
    </w:p>
    <w:p>
      <w:pPr>
        <w:pStyle w:val="Normal.0"/>
        <w:tabs>
          <w:tab w:val="left" w:pos="384"/>
        </w:tabs>
        <w:ind w:right="117"/>
        <w:rPr>
          <w:rStyle w:val="None"/>
          <w:rFonts w:ascii="Calibri" w:cs="Calibri" w:hAnsi="Calibri" w:eastAsia="Calibri"/>
          <w:b w:val="0"/>
          <w:bCs w:val="0"/>
          <w:sz w:val="18"/>
          <w:szCs w:val="18"/>
          <w:lang w:val="en-US"/>
        </w:rPr>
      </w:pPr>
      <w:r>
        <w:rPr>
          <w:rFonts w:ascii="Calibri" w:cs="Calibri" w:hAnsi="Calibri" w:eastAsia="Calibri"/>
          <w:b w:val="1"/>
          <w:bCs w:val="1"/>
          <w:sz w:val="18"/>
          <w:szCs w:val="18"/>
          <w:rtl w:val="0"/>
          <w:lang w:val="en-US"/>
        </w:rPr>
        <w:t>Seretis C, Malik A et al.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Percutaneous Retroperitoneoscopic Drainage of Complex Extraperitoneal Abscesses Using Flexible Endoscopy: Chirurgia (Bucur)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 xml:space="preserve"> </w:t>
      </w:r>
      <w:r>
        <w:rPr>
          <w:rStyle w:val="None"/>
          <w:rFonts w:ascii="Calibri" w:cs="Calibri" w:hAnsi="Calibri" w:eastAsia="Calibri"/>
          <w:b w:val="0"/>
          <w:bCs w:val="0"/>
          <w:sz w:val="18"/>
          <w:szCs w:val="18"/>
          <w:rtl w:val="0"/>
          <w:lang w:val="en-US"/>
        </w:rPr>
        <w:t>Nov-Dec 2020;115(6):792-797.</w:t>
      </w:r>
    </w:p>
    <w:p>
      <w:pPr>
        <w:pStyle w:val="Normal.0"/>
        <w:spacing w:line="200" w:lineRule="exact"/>
        <w:jc w:val="both"/>
        <w:sectPr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rStyle w:val="None"/>
          <w:rFonts w:ascii="Calibri" w:cs="Calibri" w:hAnsi="Calibri" w:eastAsia="Calibri"/>
          <w:rtl w:val="0"/>
          <w:lang w:val="en-US"/>
        </w:rPr>
        <w:t xml:space="preserve">   </w:t>
      </w: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Style w:val="None"/>
          <w:rFonts w:ascii="Calibri" w:cs="Calibri" w:hAnsi="Calibri" w:eastAsia="Calibri"/>
          <w:sz w:val="4"/>
          <w:szCs w:val="4"/>
        </w:rPr>
      </w:pPr>
      <w: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975735" cy="25400"/>
                <wp:effectExtent l="0" t="0" r="0" b="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735" cy="25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313.0pt;height: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92"/>
        <w:ind w:right="4234"/>
        <w:rPr>
          <w:rStyle w:val="None"/>
          <w:rFonts w:ascii="Arial" w:cs="Arial" w:hAnsi="Arial" w:eastAsia="Arial"/>
          <w:sz w:val="14"/>
          <w:szCs w:val="14"/>
        </w:rPr>
      </w:pPr>
      <w:r>
        <w:rPr>
          <w:rtl w:val="0"/>
          <w:lang w:val="en-US"/>
        </w:rPr>
        <w:t xml:space="preserve">    </w:t>
      </w:r>
    </w:p>
    <w:p>
      <w:pPr>
        <w:pStyle w:val="Normal.0"/>
        <w:spacing w:before="41" w:line="154" w:lineRule="exact"/>
        <w:ind w:left="213" w:right="231" w:firstLine="0"/>
        <w:jc w:val="both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  <w:lang w:val="en-US"/>
        </w:rPr>
        <w:t>Adnan Malik is a surgical trainee at University Hospitals Coventry and Warwickshire NHS Trust. He is a member of the Royal College of Surgeons of England and has also completed a bachelor of medical science from the University of Nottingham in which his dissertation was on enhanced recovery of surgery. He has a keen interest in surgical academia and has published widely on a range of topics</w:t>
      </w:r>
    </w:p>
    <w:p>
      <w:pPr>
        <w:pStyle w:val="Normal.0"/>
        <w:spacing w:before="62"/>
        <w:ind w:left="4217" w:right="4235" w:firstLine="0"/>
        <w:jc w:val="center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sz w:val="14"/>
          <w:szCs w:val="14"/>
          <w:rtl w:val="0"/>
          <w:lang w:val="en-US"/>
        </w:rPr>
        <w:t xml:space="preserve">Email: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adnan.malik93@doctors.net.uk</w:t>
      </w:r>
    </w:p>
    <w:p>
      <w:pPr>
        <w:pStyle w:val="Body Text"/>
        <w:spacing w:before="2"/>
        <w:rPr>
          <w:rStyle w:val="None"/>
          <w:rFonts w:ascii="Arial" w:cs="Arial" w:hAnsi="Arial" w:eastAsia="Arial"/>
          <w:sz w:val="19"/>
          <w:szCs w:val="19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Style w:val="None"/>
          <w:rFonts w:ascii="Arial" w:cs="Arial" w:hAnsi="Arial" w:eastAsia="Arial"/>
          <w:sz w:val="20"/>
          <w:szCs w:val="20"/>
        </w:rPr>
      </w:pPr>
    </w:p>
    <w:p>
      <w:pPr>
        <w:pStyle w:val="Body Text"/>
        <w:rPr>
          <w:rStyle w:val="None"/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7"/>
        <w:rPr>
          <w:rStyle w:val="None"/>
          <w:rFonts w:ascii="Arial" w:cs="Arial" w:hAnsi="Arial" w:eastAsia="Arial"/>
          <w:sz w:val="29"/>
          <w:szCs w:val="29"/>
        </w:rPr>
      </w:pPr>
    </w:p>
    <w:p>
      <w:pPr>
        <w:pStyle w:val="Normal.0"/>
      </w:pPr>
      <w:r>
        <w:rPr>
          <w:rStyle w:val="None"/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</w:p>
    <w:sectPr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en-US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en-US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613410</wp:posOffset>
              </wp:positionV>
              <wp:extent cx="6606541" cy="50927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Normal.0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en-US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one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Normal.0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 Pain Relief</w:t>
                          </w:r>
                        </w:p>
                        <w:p>
                          <w:pPr>
                            <w:pStyle w:val="Normal.0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 Pain Relief</w:t>
                    </w:r>
                  </w:p>
                  <w:p>
                    <w:pPr>
                      <w:pStyle w:val="Normal.0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10147934</wp:posOffset>
              </wp:positionV>
              <wp:extent cx="1167131" cy="316866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1" cy="31686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en-US"/>
                            </w:rPr>
                            <w:t>Fibromyalgia 2016</w:t>
                          </w:r>
                        </w:p>
                        <w:p>
                          <w:pPr>
                            <w:pStyle w:val="Normal.0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252.1pt;margin-top:799.0pt;width:91.9pt;height:25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one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</w:rPr>
                      <w:t>Fibromyalgia 2016</w:t>
                    </w:r>
                  </w:p>
                  <w:p>
                    <w:pPr>
                      <w:pStyle w:val="Normal.0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Normal.0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visibility:visible;position:absolute;margin-left:468.9pt;margin-top:798.8pt;width:91.4pt;height:26.0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one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Normal.0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