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077F45" w14:textId="40B73FC3" w:rsidR="00AC2A75" w:rsidRDefault="00AC2A75" w:rsidP="00AC2A75">
      <w:pPr>
        <w:spacing w:line="360" w:lineRule="auto"/>
        <w:rPr>
          <w:rFonts w:asciiTheme="minorHAnsi" w:eastAsia="Times New Roman" w:hAnsiTheme="minorHAnsi" w:cstheme="minorHAnsi"/>
          <w:b/>
          <w:bCs/>
          <w:color w:val="0E101A"/>
          <w:sz w:val="32"/>
          <w:szCs w:val="32"/>
          <w:lang w:eastAsia="en-GB"/>
        </w:rPr>
      </w:pPr>
      <w:r w:rsidRPr="00DE7929">
        <w:rPr>
          <w:rFonts w:ascii="Arial" w:hAnsi="Arial" w:cs="Arial"/>
          <w:b/>
          <w:bCs/>
          <w:color w:val="414141"/>
          <w:sz w:val="32"/>
          <w:szCs w:val="32"/>
          <w:shd w:val="clear" w:color="auto" w:fill="FFFFFF"/>
        </w:rPr>
        <w:t xml:space="preserve">Metastatic: Benign Lymph Node Ratio (LNR) and Lymph Node Yield (LNY) as predictors of survival in resected colorectal </w:t>
      </w:r>
      <w:r w:rsidRPr="00AC2A75">
        <w:rPr>
          <w:rFonts w:ascii="Arial" w:hAnsi="Arial" w:cs="Arial"/>
          <w:b/>
          <w:bCs/>
          <w:color w:val="414141"/>
          <w:sz w:val="32"/>
          <w:szCs w:val="32"/>
          <w:shd w:val="clear" w:color="auto" w:fill="FFFFFF"/>
        </w:rPr>
        <w:t>cancer</w:t>
      </w:r>
      <w:r w:rsidRPr="00AC2A75">
        <w:rPr>
          <w:rFonts w:asciiTheme="minorHAnsi" w:eastAsia="Times New Roman" w:hAnsiTheme="minorHAnsi" w:cstheme="minorHAnsi"/>
          <w:b/>
          <w:bCs/>
          <w:color w:val="0E101A"/>
          <w:sz w:val="32"/>
          <w:szCs w:val="32"/>
          <w:lang w:eastAsia="en-GB"/>
        </w:rPr>
        <w:t xml:space="preserve"> (CRC)</w:t>
      </w:r>
    </w:p>
    <w:p w14:paraId="2C30E212" w14:textId="77777777" w:rsidR="003E7C25" w:rsidRPr="003E7C25" w:rsidRDefault="003E7C25" w:rsidP="003E7C25">
      <w:pPr>
        <w:spacing w:line="360" w:lineRule="auto"/>
        <w:rPr>
          <w:rFonts w:asciiTheme="minorHAnsi" w:eastAsia="Times New Roman" w:hAnsiTheme="minorHAnsi" w:cstheme="minorHAnsi"/>
          <w:color w:val="0E101A"/>
          <w:sz w:val="20"/>
          <w:szCs w:val="20"/>
          <w:lang w:val="en-GB" w:eastAsia="en-GB"/>
        </w:rPr>
      </w:pPr>
      <w:r w:rsidRPr="003E7C25">
        <w:rPr>
          <w:rFonts w:asciiTheme="minorHAnsi" w:eastAsia="Times New Roman" w:hAnsiTheme="minorHAnsi" w:cstheme="minorHAnsi"/>
          <w:color w:val="0E101A"/>
          <w:sz w:val="20"/>
          <w:szCs w:val="20"/>
          <w:lang w:eastAsia="en-GB"/>
        </w:rPr>
        <w:t xml:space="preserve">Mohammed Issa, Research Fellow; Salma Ahmed, Research Fellow; </w:t>
      </w:r>
      <w:proofErr w:type="spellStart"/>
      <w:r w:rsidRPr="003E7C25">
        <w:rPr>
          <w:rFonts w:asciiTheme="minorHAnsi" w:eastAsia="Times New Roman" w:hAnsiTheme="minorHAnsi" w:cstheme="minorHAnsi"/>
          <w:color w:val="0E101A"/>
          <w:sz w:val="20"/>
          <w:szCs w:val="20"/>
          <w:lang w:eastAsia="en-GB"/>
        </w:rPr>
        <w:t>Kesav</w:t>
      </w:r>
      <w:proofErr w:type="spellEnd"/>
      <w:r w:rsidRPr="003E7C25">
        <w:rPr>
          <w:rFonts w:asciiTheme="minorHAnsi" w:eastAsia="Times New Roman" w:hAnsiTheme="minorHAnsi" w:cstheme="minorHAnsi"/>
          <w:color w:val="0E101A"/>
          <w:sz w:val="20"/>
          <w:szCs w:val="20"/>
          <w:lang w:eastAsia="en-GB"/>
        </w:rPr>
        <w:t xml:space="preserve"> </w:t>
      </w:r>
      <w:proofErr w:type="spellStart"/>
      <w:r w:rsidRPr="003E7C25">
        <w:rPr>
          <w:rFonts w:asciiTheme="minorHAnsi" w:eastAsia="Times New Roman" w:hAnsiTheme="minorHAnsi" w:cstheme="minorHAnsi"/>
          <w:color w:val="0E101A"/>
          <w:sz w:val="20"/>
          <w:szCs w:val="20"/>
          <w:lang w:eastAsia="en-GB"/>
        </w:rPr>
        <w:t>Vijayagopal</w:t>
      </w:r>
      <w:proofErr w:type="spellEnd"/>
      <w:r w:rsidRPr="003E7C25">
        <w:rPr>
          <w:rFonts w:asciiTheme="minorHAnsi" w:eastAsia="Times New Roman" w:hAnsiTheme="minorHAnsi" w:cstheme="minorHAnsi"/>
          <w:color w:val="0E101A"/>
          <w:sz w:val="20"/>
          <w:szCs w:val="20"/>
          <w:lang w:eastAsia="en-GB"/>
        </w:rPr>
        <w:t xml:space="preserve">, F2; </w:t>
      </w:r>
      <w:proofErr w:type="spellStart"/>
      <w:r w:rsidRPr="003E7C25">
        <w:rPr>
          <w:rFonts w:asciiTheme="minorHAnsi" w:eastAsia="Times New Roman" w:hAnsiTheme="minorHAnsi" w:cstheme="minorHAnsi"/>
          <w:color w:val="0E101A"/>
          <w:sz w:val="20"/>
          <w:szCs w:val="20"/>
          <w:lang w:eastAsia="en-GB"/>
        </w:rPr>
        <w:t>Omokimi</w:t>
      </w:r>
      <w:proofErr w:type="spellEnd"/>
      <w:r w:rsidRPr="003E7C25">
        <w:rPr>
          <w:rFonts w:asciiTheme="minorHAnsi" w:eastAsia="Times New Roman" w:hAnsiTheme="minorHAnsi" w:cstheme="minorHAnsi"/>
          <w:color w:val="0E101A"/>
          <w:sz w:val="20"/>
          <w:szCs w:val="20"/>
          <w:lang w:eastAsia="en-GB"/>
        </w:rPr>
        <w:t xml:space="preserve"> </w:t>
      </w:r>
      <w:proofErr w:type="spellStart"/>
      <w:r w:rsidRPr="003E7C25">
        <w:rPr>
          <w:rFonts w:asciiTheme="minorHAnsi" w:eastAsia="Times New Roman" w:hAnsiTheme="minorHAnsi" w:cstheme="minorHAnsi"/>
          <w:color w:val="0E101A"/>
          <w:sz w:val="20"/>
          <w:szCs w:val="20"/>
          <w:lang w:eastAsia="en-GB"/>
        </w:rPr>
        <w:t>Omolokun</w:t>
      </w:r>
      <w:proofErr w:type="spellEnd"/>
      <w:r w:rsidRPr="003E7C25">
        <w:rPr>
          <w:rFonts w:asciiTheme="minorHAnsi" w:eastAsia="Times New Roman" w:hAnsiTheme="minorHAnsi" w:cstheme="minorHAnsi"/>
          <w:color w:val="0E101A"/>
          <w:sz w:val="20"/>
          <w:szCs w:val="20"/>
          <w:lang w:eastAsia="en-GB"/>
        </w:rPr>
        <w:t xml:space="preserve">, F2; </w:t>
      </w:r>
      <w:proofErr w:type="gramStart"/>
      <w:r w:rsidRPr="003E7C25">
        <w:rPr>
          <w:rFonts w:asciiTheme="minorHAnsi" w:eastAsia="Times New Roman" w:hAnsiTheme="minorHAnsi" w:cstheme="minorHAnsi"/>
          <w:color w:val="0E101A"/>
          <w:sz w:val="20"/>
          <w:szCs w:val="20"/>
          <w:lang w:eastAsia="en-GB"/>
        </w:rPr>
        <w:t>Anna</w:t>
      </w:r>
      <w:proofErr w:type="gramEnd"/>
      <w:r w:rsidRPr="003E7C25">
        <w:rPr>
          <w:rFonts w:asciiTheme="minorHAnsi" w:eastAsia="Times New Roman" w:hAnsiTheme="minorHAnsi" w:cstheme="minorHAnsi"/>
          <w:color w:val="0E101A"/>
          <w:sz w:val="20"/>
          <w:szCs w:val="20"/>
          <w:lang w:eastAsia="en-GB"/>
        </w:rPr>
        <w:t xml:space="preserve"> griffin F2, Sam Freeborn, F2; Jeremy Wilson, Consultant surgeon; Conor Magee, Consultant Surgeon</w:t>
      </w:r>
    </w:p>
    <w:p w14:paraId="6A5D92AB" w14:textId="77777777" w:rsidR="003E7C25" w:rsidRPr="003E7C25" w:rsidRDefault="003E7C25" w:rsidP="003E7C25">
      <w:pPr>
        <w:spacing w:line="360" w:lineRule="auto"/>
        <w:rPr>
          <w:rFonts w:asciiTheme="minorHAnsi" w:eastAsia="Times New Roman" w:hAnsiTheme="minorHAnsi" w:cstheme="minorHAnsi"/>
          <w:color w:val="0E101A"/>
          <w:sz w:val="20"/>
          <w:szCs w:val="20"/>
          <w:lang w:val="en-GB" w:eastAsia="en-GB"/>
        </w:rPr>
      </w:pPr>
      <w:r w:rsidRPr="003E7C25">
        <w:rPr>
          <w:rFonts w:asciiTheme="minorHAnsi" w:eastAsia="Times New Roman" w:hAnsiTheme="minorHAnsi" w:cstheme="minorHAnsi"/>
          <w:i/>
          <w:iCs/>
          <w:color w:val="0E101A"/>
          <w:sz w:val="20"/>
          <w:szCs w:val="20"/>
          <w:lang w:eastAsia="en-GB"/>
        </w:rPr>
        <w:t>Wirral University Teaching Hospital</w:t>
      </w:r>
    </w:p>
    <w:p w14:paraId="51160530" w14:textId="77777777" w:rsidR="003E7C25" w:rsidRPr="003E7C25" w:rsidRDefault="003E7C25" w:rsidP="00AC2A75">
      <w:pPr>
        <w:spacing w:line="360" w:lineRule="auto"/>
        <w:rPr>
          <w:rFonts w:asciiTheme="minorHAnsi" w:eastAsia="Times New Roman" w:hAnsiTheme="minorHAnsi" w:cstheme="minorHAnsi"/>
          <w:b/>
          <w:bCs/>
          <w:color w:val="0E101A"/>
          <w:sz w:val="32"/>
          <w:szCs w:val="32"/>
          <w:u w:val="single"/>
          <w:lang w:val="en-GB" w:eastAsia="en-GB"/>
        </w:rPr>
      </w:pPr>
    </w:p>
    <w:p w14:paraId="4C939FEA" w14:textId="3E8F3B69" w:rsidR="00D25BDA" w:rsidRPr="00D25BDA" w:rsidRDefault="00D25BDA" w:rsidP="00D25BDA">
      <w:pPr>
        <w:pStyle w:val="NormalWeb"/>
        <w:spacing w:before="0" w:beforeAutospacing="0" w:after="0" w:afterAutospacing="0" w:line="360" w:lineRule="auto"/>
        <w:rPr>
          <w:rFonts w:asciiTheme="minorHAnsi" w:hAnsiTheme="minorHAnsi" w:cstheme="minorHAnsi"/>
          <w:color w:val="0E101A"/>
        </w:rPr>
      </w:pPr>
      <w:r w:rsidRPr="00D25BDA">
        <w:rPr>
          <w:rStyle w:val="Strong"/>
          <w:rFonts w:asciiTheme="minorHAnsi" w:hAnsiTheme="minorHAnsi" w:cstheme="minorHAnsi"/>
          <w:color w:val="0E101A"/>
          <w:u w:val="single"/>
        </w:rPr>
        <w:t>Background</w:t>
      </w:r>
      <w:r w:rsidRPr="00D25BDA">
        <w:rPr>
          <w:rFonts w:asciiTheme="minorHAnsi" w:hAnsiTheme="minorHAnsi" w:cstheme="minorHAnsi"/>
          <w:color w:val="0E101A"/>
        </w:rPr>
        <w:t xml:space="preserve">: Lymphadenectomy is central to </w:t>
      </w:r>
      <w:proofErr w:type="spellStart"/>
      <w:r w:rsidRPr="00D25BDA">
        <w:rPr>
          <w:rFonts w:asciiTheme="minorHAnsi" w:hAnsiTheme="minorHAnsi" w:cstheme="minorHAnsi"/>
          <w:color w:val="0E101A"/>
        </w:rPr>
        <w:t>tumor</w:t>
      </w:r>
      <w:proofErr w:type="spellEnd"/>
      <w:r w:rsidRPr="00D25BDA">
        <w:rPr>
          <w:rFonts w:asciiTheme="minorHAnsi" w:hAnsiTheme="minorHAnsi" w:cstheme="minorHAnsi"/>
          <w:color w:val="0E101A"/>
        </w:rPr>
        <w:t xml:space="preserve"> prognosis. 12 LNY</w:t>
      </w:r>
      <w:r>
        <w:rPr>
          <w:rFonts w:asciiTheme="minorHAnsi" w:hAnsiTheme="minorHAnsi" w:cstheme="minorHAnsi"/>
          <w:color w:val="0E101A"/>
        </w:rPr>
        <w:t xml:space="preserve"> </w:t>
      </w:r>
      <w:r w:rsidRPr="00D25BDA">
        <w:rPr>
          <w:rFonts w:asciiTheme="minorHAnsi" w:hAnsiTheme="minorHAnsi" w:cstheme="minorHAnsi"/>
          <w:color w:val="0E101A"/>
        </w:rPr>
        <w:t>during CRC resection is a standard of good oncological resection, but 30–50</w:t>
      </w:r>
      <w:r>
        <w:rPr>
          <w:rFonts w:asciiTheme="minorHAnsi" w:hAnsiTheme="minorHAnsi" w:cstheme="minorHAnsi"/>
          <w:color w:val="0E101A"/>
        </w:rPr>
        <w:t xml:space="preserve"> </w:t>
      </w:r>
      <w:r w:rsidRPr="00D25BDA">
        <w:rPr>
          <w:rFonts w:asciiTheme="minorHAnsi" w:hAnsiTheme="minorHAnsi" w:cstheme="minorHAnsi"/>
          <w:color w:val="0E101A"/>
        </w:rPr>
        <w:t>percent of resections do not achieve this. LNR</w:t>
      </w:r>
      <w:r w:rsidRPr="00D25BDA">
        <w:rPr>
          <w:rStyle w:val="Strong"/>
          <w:rFonts w:asciiTheme="minorHAnsi" w:hAnsiTheme="minorHAnsi" w:cstheme="minorHAnsi"/>
          <w:color w:val="0E101A"/>
        </w:rPr>
        <w:t> </w:t>
      </w:r>
      <w:r w:rsidRPr="00D25BDA">
        <w:rPr>
          <w:rFonts w:asciiTheme="minorHAnsi" w:hAnsiTheme="minorHAnsi" w:cstheme="minorHAnsi"/>
          <w:color w:val="0E101A"/>
        </w:rPr>
        <w:t>was</w:t>
      </w:r>
      <w:r>
        <w:rPr>
          <w:rFonts w:asciiTheme="minorHAnsi" w:hAnsiTheme="minorHAnsi" w:cstheme="minorHAnsi"/>
          <w:color w:val="0E101A"/>
        </w:rPr>
        <w:t xml:space="preserve"> </w:t>
      </w:r>
      <w:r w:rsidRPr="00D25BDA">
        <w:rPr>
          <w:rFonts w:asciiTheme="minorHAnsi" w:hAnsiTheme="minorHAnsi" w:cstheme="minorHAnsi"/>
          <w:color w:val="0E101A"/>
        </w:rPr>
        <w:t>suggested to be a more accurate predictive factor.</w:t>
      </w:r>
    </w:p>
    <w:p w14:paraId="5679858B" w14:textId="2BC603EC" w:rsidR="00D25BDA" w:rsidRPr="00D25BDA" w:rsidRDefault="00D25BDA" w:rsidP="00D25BDA">
      <w:pPr>
        <w:pStyle w:val="NormalWeb"/>
        <w:spacing w:before="0" w:beforeAutospacing="0" w:after="0" w:afterAutospacing="0" w:line="360" w:lineRule="auto"/>
        <w:rPr>
          <w:rFonts w:asciiTheme="minorHAnsi" w:hAnsiTheme="minorHAnsi" w:cstheme="minorHAnsi"/>
          <w:color w:val="0E101A"/>
        </w:rPr>
      </w:pPr>
      <w:r w:rsidRPr="00D25BDA">
        <w:rPr>
          <w:rStyle w:val="Strong"/>
          <w:rFonts w:asciiTheme="minorHAnsi" w:hAnsiTheme="minorHAnsi" w:cstheme="minorHAnsi"/>
          <w:color w:val="0E101A"/>
          <w:u w:val="single"/>
        </w:rPr>
        <w:t>Aim:</w:t>
      </w:r>
      <w:r w:rsidRPr="00D25BDA">
        <w:rPr>
          <w:rFonts w:asciiTheme="minorHAnsi" w:hAnsiTheme="minorHAnsi" w:cstheme="minorHAnsi"/>
          <w:color w:val="0E101A"/>
        </w:rPr>
        <w:t> To examine the prognostic significance of LNY</w:t>
      </w:r>
      <w:r>
        <w:rPr>
          <w:rFonts w:asciiTheme="minorHAnsi" w:hAnsiTheme="minorHAnsi" w:cstheme="minorHAnsi"/>
          <w:color w:val="0E101A"/>
        </w:rPr>
        <w:t xml:space="preserve"> </w:t>
      </w:r>
      <w:r w:rsidRPr="00D25BDA">
        <w:rPr>
          <w:rFonts w:asciiTheme="minorHAnsi" w:hAnsiTheme="minorHAnsi" w:cstheme="minorHAnsi"/>
          <w:color w:val="0E101A"/>
        </w:rPr>
        <w:t>and LNR on survival in patients with non-metastatic CRC.</w:t>
      </w:r>
    </w:p>
    <w:p w14:paraId="175F5346" w14:textId="765E5BBB" w:rsidR="00D25BDA" w:rsidRPr="00D25BDA" w:rsidRDefault="00D25BDA" w:rsidP="00D25BDA">
      <w:pPr>
        <w:pStyle w:val="NormalWeb"/>
        <w:spacing w:before="0" w:beforeAutospacing="0" w:after="0" w:afterAutospacing="0" w:line="360" w:lineRule="auto"/>
        <w:rPr>
          <w:rFonts w:asciiTheme="minorHAnsi" w:hAnsiTheme="minorHAnsi" w:cstheme="minorHAnsi"/>
          <w:color w:val="0E101A"/>
        </w:rPr>
      </w:pPr>
      <w:r w:rsidRPr="00D25BDA">
        <w:rPr>
          <w:rStyle w:val="Strong"/>
          <w:rFonts w:asciiTheme="minorHAnsi" w:hAnsiTheme="minorHAnsi" w:cstheme="minorHAnsi"/>
          <w:color w:val="0E101A"/>
          <w:u w:val="single"/>
        </w:rPr>
        <w:t>Methods:</w:t>
      </w:r>
      <w:r w:rsidRPr="00D25BDA">
        <w:rPr>
          <w:rFonts w:asciiTheme="minorHAnsi" w:hAnsiTheme="minorHAnsi" w:cstheme="minorHAnsi"/>
          <w:color w:val="0E101A"/>
        </w:rPr>
        <w:t> A retrospective study on patients with CRC</w:t>
      </w:r>
      <w:r>
        <w:rPr>
          <w:rFonts w:asciiTheme="minorHAnsi" w:hAnsiTheme="minorHAnsi" w:cstheme="minorHAnsi"/>
          <w:color w:val="0E101A"/>
        </w:rPr>
        <w:t xml:space="preserve"> </w:t>
      </w:r>
      <w:r w:rsidRPr="00D25BDA">
        <w:rPr>
          <w:rFonts w:asciiTheme="minorHAnsi" w:hAnsiTheme="minorHAnsi" w:cstheme="minorHAnsi"/>
          <w:color w:val="0E101A"/>
        </w:rPr>
        <w:t>treated at a DGH from January 2015 to February 2017. Outcome measures were</w:t>
      </w:r>
      <w:r>
        <w:rPr>
          <w:rFonts w:asciiTheme="minorHAnsi" w:hAnsiTheme="minorHAnsi" w:cstheme="minorHAnsi"/>
          <w:color w:val="0E101A"/>
        </w:rPr>
        <w:t xml:space="preserve"> </w:t>
      </w:r>
      <w:r w:rsidRPr="00D25BDA">
        <w:rPr>
          <w:rFonts w:asciiTheme="minorHAnsi" w:hAnsiTheme="minorHAnsi" w:cstheme="minorHAnsi"/>
          <w:color w:val="0E101A"/>
        </w:rPr>
        <w:t>Disease-Free (DFS) and Overall Survival (OS). </w:t>
      </w:r>
    </w:p>
    <w:p w14:paraId="55335054" w14:textId="7EEF88B4" w:rsidR="00D25BDA" w:rsidRPr="00D25BDA" w:rsidRDefault="00D25BDA" w:rsidP="00D25BDA">
      <w:pPr>
        <w:pStyle w:val="NormalWeb"/>
        <w:spacing w:before="0" w:beforeAutospacing="0" w:after="0" w:afterAutospacing="0" w:line="360" w:lineRule="auto"/>
        <w:rPr>
          <w:rFonts w:asciiTheme="minorHAnsi" w:hAnsiTheme="minorHAnsi" w:cstheme="minorHAnsi"/>
          <w:color w:val="0E101A"/>
        </w:rPr>
      </w:pPr>
      <w:r w:rsidRPr="00D25BDA">
        <w:rPr>
          <w:rStyle w:val="Strong"/>
          <w:rFonts w:asciiTheme="minorHAnsi" w:hAnsiTheme="minorHAnsi" w:cstheme="minorHAnsi"/>
          <w:color w:val="0E101A"/>
          <w:u w:val="single"/>
        </w:rPr>
        <w:t>Results:</w:t>
      </w:r>
      <w:r w:rsidRPr="00D25BDA">
        <w:rPr>
          <w:rFonts w:asciiTheme="minorHAnsi" w:hAnsiTheme="minorHAnsi" w:cstheme="minorHAnsi"/>
          <w:color w:val="0E101A"/>
        </w:rPr>
        <w:t> 265 cases were identified. The mean age was</w:t>
      </w:r>
      <w:r>
        <w:rPr>
          <w:rFonts w:asciiTheme="minorHAnsi" w:hAnsiTheme="minorHAnsi" w:cstheme="minorHAnsi"/>
          <w:color w:val="0E101A"/>
        </w:rPr>
        <w:t xml:space="preserve"> </w:t>
      </w:r>
      <w:r w:rsidRPr="00D25BDA">
        <w:rPr>
          <w:rFonts w:asciiTheme="minorHAnsi" w:hAnsiTheme="minorHAnsi" w:cstheme="minorHAnsi"/>
          <w:color w:val="0E101A"/>
        </w:rPr>
        <w:t>(71.4±11.3) years with a median follow-up of 56 (range 0-72) months. Median LNY</w:t>
      </w:r>
      <w:r>
        <w:rPr>
          <w:rFonts w:asciiTheme="minorHAnsi" w:hAnsiTheme="minorHAnsi" w:cstheme="minorHAnsi"/>
          <w:color w:val="0E101A"/>
        </w:rPr>
        <w:t xml:space="preserve"> </w:t>
      </w:r>
      <w:r w:rsidRPr="00D25BDA">
        <w:rPr>
          <w:rFonts w:asciiTheme="minorHAnsi" w:hAnsiTheme="minorHAnsi" w:cstheme="minorHAnsi"/>
          <w:color w:val="0E101A"/>
        </w:rPr>
        <w:t>was 18 (range 0–66) nodes. 74.9% of the cases have&gt; 12 LNY and only 25.1%</w:t>
      </w:r>
      <w:r>
        <w:rPr>
          <w:rFonts w:asciiTheme="minorHAnsi" w:hAnsiTheme="minorHAnsi" w:cstheme="minorHAnsi"/>
          <w:color w:val="0E101A"/>
        </w:rPr>
        <w:t xml:space="preserve"> </w:t>
      </w:r>
      <w:r w:rsidRPr="00D25BDA">
        <w:rPr>
          <w:rFonts w:asciiTheme="minorHAnsi" w:hAnsiTheme="minorHAnsi" w:cstheme="minorHAnsi"/>
          <w:color w:val="0E101A"/>
        </w:rPr>
        <w:t>of the cases have &lt; 12 LN yielded in the specimen; however, 76.4% have LNR of 0-&lt;0.25. Increasing LNR was associated with poorer OS and</w:t>
      </w:r>
    </w:p>
    <w:p w14:paraId="0BBB405E" w14:textId="4AAD07CF" w:rsidR="00D25BDA" w:rsidRPr="00D25BDA" w:rsidRDefault="00D25BDA" w:rsidP="00D25BDA">
      <w:pPr>
        <w:pStyle w:val="NormalWeb"/>
        <w:spacing w:before="0" w:beforeAutospacing="0" w:after="0" w:afterAutospacing="0" w:line="360" w:lineRule="auto"/>
        <w:rPr>
          <w:rFonts w:asciiTheme="minorHAnsi" w:hAnsiTheme="minorHAnsi" w:cstheme="minorHAnsi"/>
          <w:color w:val="0E101A"/>
        </w:rPr>
      </w:pPr>
      <w:r w:rsidRPr="00D25BDA">
        <w:rPr>
          <w:rFonts w:asciiTheme="minorHAnsi" w:hAnsiTheme="minorHAnsi" w:cstheme="minorHAnsi"/>
          <w:color w:val="0E101A"/>
        </w:rPr>
        <w:t>DFS (p-value 0.0001</w:t>
      </w:r>
      <w:r w:rsidR="00E86EA9" w:rsidRPr="00D25BDA">
        <w:rPr>
          <w:rFonts w:asciiTheme="minorHAnsi" w:hAnsiTheme="minorHAnsi" w:cstheme="minorHAnsi"/>
          <w:color w:val="0E101A"/>
        </w:rPr>
        <w:t>). An</w:t>
      </w:r>
      <w:r>
        <w:rPr>
          <w:rFonts w:asciiTheme="minorHAnsi" w:hAnsiTheme="minorHAnsi" w:cstheme="minorHAnsi"/>
          <w:color w:val="0E101A"/>
        </w:rPr>
        <w:t xml:space="preserve"> </w:t>
      </w:r>
      <w:r w:rsidRPr="00D25BDA">
        <w:rPr>
          <w:rFonts w:asciiTheme="minorHAnsi" w:hAnsiTheme="minorHAnsi" w:cstheme="minorHAnsi"/>
          <w:color w:val="0E101A"/>
        </w:rPr>
        <w:t>LNR of (0.75-1) was associated with a very poor prognosis (p-value 0.0001); it</w:t>
      </w:r>
      <w:r>
        <w:rPr>
          <w:rFonts w:asciiTheme="minorHAnsi" w:hAnsiTheme="minorHAnsi" w:cstheme="minorHAnsi"/>
          <w:color w:val="0E101A"/>
        </w:rPr>
        <w:t xml:space="preserve"> </w:t>
      </w:r>
      <w:r w:rsidRPr="00D25BDA">
        <w:rPr>
          <w:rFonts w:asciiTheme="minorHAnsi" w:hAnsiTheme="minorHAnsi" w:cstheme="minorHAnsi"/>
          <w:color w:val="0E101A"/>
        </w:rPr>
        <w:t>showed 30 and 33 months less in median OS and DFS retrospectively than LNR</w:t>
      </w:r>
    </w:p>
    <w:p w14:paraId="2366BE34" w14:textId="133E32B2" w:rsidR="00D25BDA" w:rsidRPr="00D25BDA" w:rsidRDefault="00D25BDA" w:rsidP="00D25BDA">
      <w:pPr>
        <w:pStyle w:val="NormalWeb"/>
        <w:spacing w:before="0" w:beforeAutospacing="0" w:after="0" w:afterAutospacing="0" w:line="360" w:lineRule="auto"/>
        <w:rPr>
          <w:rFonts w:asciiTheme="minorHAnsi" w:hAnsiTheme="minorHAnsi" w:cstheme="minorHAnsi"/>
          <w:color w:val="0E101A"/>
        </w:rPr>
      </w:pPr>
      <w:r w:rsidRPr="00D25BDA">
        <w:rPr>
          <w:rFonts w:asciiTheme="minorHAnsi" w:hAnsiTheme="minorHAnsi" w:cstheme="minorHAnsi"/>
          <w:color w:val="0E101A"/>
        </w:rPr>
        <w:t>(0-&lt;0.25).</w:t>
      </w:r>
      <w:r w:rsidR="00E86EA9">
        <w:rPr>
          <w:rFonts w:asciiTheme="minorHAnsi" w:hAnsiTheme="minorHAnsi" w:cstheme="minorHAnsi"/>
          <w:color w:val="0E101A"/>
        </w:rPr>
        <w:t xml:space="preserve"> </w:t>
      </w:r>
      <w:r w:rsidRPr="00D25BDA">
        <w:rPr>
          <w:rFonts w:asciiTheme="minorHAnsi" w:hAnsiTheme="minorHAnsi" w:cstheme="minorHAnsi"/>
          <w:color w:val="0E101A"/>
        </w:rPr>
        <w:t>LNY</w:t>
      </w:r>
      <w:r>
        <w:rPr>
          <w:rFonts w:asciiTheme="minorHAnsi" w:hAnsiTheme="minorHAnsi" w:cstheme="minorHAnsi"/>
          <w:color w:val="0E101A"/>
        </w:rPr>
        <w:t xml:space="preserve"> </w:t>
      </w:r>
      <w:r w:rsidRPr="00D25BDA">
        <w:rPr>
          <w:rFonts w:asciiTheme="minorHAnsi" w:hAnsiTheme="minorHAnsi" w:cstheme="minorHAnsi"/>
          <w:color w:val="0E101A"/>
        </w:rPr>
        <w:t>did not show any statistically significant predictive factor in survival.</w:t>
      </w:r>
    </w:p>
    <w:p w14:paraId="1AE21353" w14:textId="61490D55" w:rsidR="00D25BDA" w:rsidRPr="00D25BDA" w:rsidRDefault="00D25BDA" w:rsidP="00D25BDA">
      <w:pPr>
        <w:pStyle w:val="NormalWeb"/>
        <w:spacing w:before="0" w:beforeAutospacing="0" w:after="0" w:afterAutospacing="0" w:line="360" w:lineRule="auto"/>
        <w:rPr>
          <w:rFonts w:asciiTheme="minorHAnsi" w:hAnsiTheme="minorHAnsi" w:cstheme="minorHAnsi"/>
          <w:color w:val="0E101A"/>
        </w:rPr>
      </w:pPr>
      <w:r w:rsidRPr="00D25BDA">
        <w:rPr>
          <w:rFonts w:asciiTheme="minorHAnsi" w:hAnsiTheme="minorHAnsi" w:cstheme="minorHAnsi"/>
          <w:color w:val="0E101A"/>
        </w:rPr>
        <w:t>Multivariate</w:t>
      </w:r>
      <w:r>
        <w:rPr>
          <w:rFonts w:asciiTheme="minorHAnsi" w:hAnsiTheme="minorHAnsi" w:cstheme="minorHAnsi"/>
          <w:color w:val="0E101A"/>
        </w:rPr>
        <w:t xml:space="preserve"> </w:t>
      </w:r>
      <w:r w:rsidRPr="00D25BDA">
        <w:rPr>
          <w:rFonts w:asciiTheme="minorHAnsi" w:hAnsiTheme="minorHAnsi" w:cstheme="minorHAnsi"/>
          <w:color w:val="0E101A"/>
        </w:rPr>
        <w:t>analysis showed OS and DFS are affected (R2= 27.3% and 26.1% retrospectively)</w:t>
      </w:r>
      <w:r>
        <w:rPr>
          <w:rFonts w:asciiTheme="minorHAnsi" w:hAnsiTheme="minorHAnsi" w:cstheme="minorHAnsi"/>
          <w:color w:val="0E101A"/>
        </w:rPr>
        <w:t xml:space="preserve"> </w:t>
      </w:r>
      <w:r w:rsidRPr="00D25BDA">
        <w:rPr>
          <w:rFonts w:asciiTheme="minorHAnsi" w:hAnsiTheme="minorHAnsi" w:cstheme="minorHAnsi"/>
          <w:color w:val="0E101A"/>
        </w:rPr>
        <w:t>mainly by LNR. It did not show statistical significance with the other</w:t>
      </w:r>
    </w:p>
    <w:p w14:paraId="6E0C053B" w14:textId="77777777" w:rsidR="00D25BDA" w:rsidRPr="00D25BDA" w:rsidRDefault="00D25BDA" w:rsidP="00D25BDA">
      <w:pPr>
        <w:pStyle w:val="NormalWeb"/>
        <w:spacing w:before="0" w:beforeAutospacing="0" w:after="0" w:afterAutospacing="0" w:line="360" w:lineRule="auto"/>
        <w:rPr>
          <w:rFonts w:asciiTheme="minorHAnsi" w:hAnsiTheme="minorHAnsi" w:cstheme="minorHAnsi"/>
          <w:color w:val="0E101A"/>
        </w:rPr>
      </w:pPr>
      <w:r w:rsidRPr="00D25BDA">
        <w:rPr>
          <w:rFonts w:asciiTheme="minorHAnsi" w:hAnsiTheme="minorHAnsi" w:cstheme="minorHAnsi"/>
          <w:color w:val="0E101A"/>
        </w:rPr>
        <w:t>variables, including TNM, LNY, and Dukes' stages. </w:t>
      </w:r>
    </w:p>
    <w:p w14:paraId="45F969E3" w14:textId="6FB0D8C9" w:rsidR="00D25BDA" w:rsidRPr="00D25BDA" w:rsidRDefault="00D25BDA" w:rsidP="00D25BDA">
      <w:pPr>
        <w:pStyle w:val="NormalWeb"/>
        <w:spacing w:before="0" w:beforeAutospacing="0" w:after="0" w:afterAutospacing="0" w:line="360" w:lineRule="auto"/>
        <w:rPr>
          <w:rFonts w:asciiTheme="minorHAnsi" w:hAnsiTheme="minorHAnsi" w:cstheme="minorHAnsi"/>
          <w:color w:val="0E101A"/>
        </w:rPr>
      </w:pPr>
      <w:r w:rsidRPr="00D25BDA">
        <w:rPr>
          <w:rStyle w:val="Strong"/>
          <w:rFonts w:asciiTheme="minorHAnsi" w:hAnsiTheme="minorHAnsi" w:cstheme="minorHAnsi"/>
          <w:color w:val="0E101A"/>
          <w:u w:val="single"/>
        </w:rPr>
        <w:t>Conclusion:</w:t>
      </w:r>
      <w:r w:rsidRPr="00D25BDA">
        <w:rPr>
          <w:rFonts w:asciiTheme="minorHAnsi" w:hAnsiTheme="minorHAnsi" w:cstheme="minorHAnsi"/>
          <w:color w:val="0E101A"/>
        </w:rPr>
        <w:t> Increasing LNR was a marker of poor survival;</w:t>
      </w:r>
      <w:r>
        <w:rPr>
          <w:rFonts w:asciiTheme="minorHAnsi" w:hAnsiTheme="minorHAnsi" w:cstheme="minorHAnsi"/>
          <w:color w:val="0E101A"/>
        </w:rPr>
        <w:t xml:space="preserve"> </w:t>
      </w:r>
      <w:r w:rsidRPr="00D25BDA">
        <w:rPr>
          <w:rFonts w:asciiTheme="minorHAnsi" w:hAnsiTheme="minorHAnsi" w:cstheme="minorHAnsi"/>
          <w:color w:val="0E101A"/>
        </w:rPr>
        <w:t>however, LNY was not a</w:t>
      </w:r>
      <w:r>
        <w:rPr>
          <w:rFonts w:asciiTheme="minorHAnsi" w:hAnsiTheme="minorHAnsi" w:cstheme="minorHAnsi"/>
          <w:color w:val="0E101A"/>
        </w:rPr>
        <w:t xml:space="preserve"> </w:t>
      </w:r>
      <w:r w:rsidRPr="00D25BDA">
        <w:rPr>
          <w:rFonts w:asciiTheme="minorHAnsi" w:hAnsiTheme="minorHAnsi" w:cstheme="minorHAnsi"/>
          <w:color w:val="0E101A"/>
        </w:rPr>
        <w:t>statistically significant predictive factor. LNR is better</w:t>
      </w:r>
      <w:r>
        <w:rPr>
          <w:rFonts w:asciiTheme="minorHAnsi" w:hAnsiTheme="minorHAnsi" w:cstheme="minorHAnsi"/>
          <w:color w:val="0E101A"/>
        </w:rPr>
        <w:t xml:space="preserve"> </w:t>
      </w:r>
      <w:r w:rsidRPr="00D25BDA">
        <w:rPr>
          <w:rFonts w:asciiTheme="minorHAnsi" w:hAnsiTheme="minorHAnsi" w:cstheme="minorHAnsi"/>
          <w:color w:val="0E101A"/>
        </w:rPr>
        <w:t>in predicting survival than TNM and Dukes' staging.</w:t>
      </w:r>
    </w:p>
    <w:p w14:paraId="74473312" w14:textId="77777777" w:rsidR="007D7255" w:rsidRPr="00D25BDA" w:rsidRDefault="007D7255" w:rsidP="00D25BDA">
      <w:pPr>
        <w:pStyle w:val="Normal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</w:p>
    <w:sectPr w:rsidR="007D7255" w:rsidRPr="00D25B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U2NjY1MzIwMjE3NLVU0lEKTi0uzszPAykwrAUAwxN/yiwAAAA="/>
  </w:docVars>
  <w:rsids>
    <w:rsidRoot w:val="007E2AEE"/>
    <w:rsid w:val="0018404D"/>
    <w:rsid w:val="003E7C25"/>
    <w:rsid w:val="00463EC1"/>
    <w:rsid w:val="00507F21"/>
    <w:rsid w:val="007D7255"/>
    <w:rsid w:val="007E2AEE"/>
    <w:rsid w:val="00A0464D"/>
    <w:rsid w:val="00AC2A75"/>
    <w:rsid w:val="00D25BDA"/>
    <w:rsid w:val="00DE7929"/>
    <w:rsid w:val="00E86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81AF2"/>
  <w15:chartTrackingRefBased/>
  <w15:docId w15:val="{B4A408B1-9574-4289-8839-9366FD9F0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7929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07F2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507F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175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ISSA, Mohamed (WIRRAL UNIVERSITY TEACHING HOSPITAL NHS FOUNDATION TRUST)</dc:creator>
  <cp:keywords/>
  <dc:description/>
  <cp:lastModifiedBy>Salma Ahmed</cp:lastModifiedBy>
  <cp:revision>2</cp:revision>
  <dcterms:created xsi:type="dcterms:W3CDTF">2021-10-23T14:00:00Z</dcterms:created>
  <dcterms:modified xsi:type="dcterms:W3CDTF">2021-10-23T14:00:00Z</dcterms:modified>
</cp:coreProperties>
</file>